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rFonts w:eastAsiaTheme="majorEastAsia" w:cstheme="majorBidi"/>
          <w:b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spacing w:val="5"/>
          <w:kern w:val="28"/>
          <w:sz w:val="28"/>
        </w:rPr>
        <w:t xml:space="preserve">Uccisione in azienda: controllo autonomo da parte del detentore di animali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325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Azienda (</w:t>
            </w:r>
            <w:proofErr w:type="spellStart"/>
            <w:r>
              <w:rPr>
                <w:sz w:val="18"/>
              </w:rPr>
              <w:t>BDTA</w:t>
            </w:r>
            <w:proofErr w:type="spellEnd"/>
            <w:r>
              <w:rPr>
                <w:sz w:val="18"/>
              </w:rPr>
              <w:t>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Detentore di animali _________________________________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Data / ora (dalle–alle) 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Nome VU / art. 5 VE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Specie animale: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Identificazione degli animali </w:t>
            </w:r>
            <w:proofErr w:type="spellStart"/>
            <w:r>
              <w:rPr>
                <w:sz w:val="18"/>
              </w:rPr>
              <w:t>sottoposio</w:t>
            </w:r>
            <w:proofErr w:type="spellEnd"/>
            <w:r>
              <w:rPr>
                <w:sz w:val="18"/>
              </w:rPr>
              <w:t xml:space="preserve"> a controllo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2.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Stordimento effettuato da_________________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Dissanguamento effettuato da____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(Cognome, nome, per entrambe le operazioni)</w:t>
            </w:r>
          </w:p>
        </w:tc>
      </w:tr>
    </w:tbl>
    <w:p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Esito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Osservazioni / misure</w:t>
            </w:r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Preparazione uccisione in azienda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u w:val="single"/>
              </w:rPr>
              <w:t>Documentazione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Le notifiche necessarie sono state effettuate, il personale / i fornitori di servizi sono stati chiamati e l’intervento è stato confermato? (eseguire, chi ...)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Documento di accompagnamento compilato correttamente/completamente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Modulo per il controllo degli animali da macello da parte del VU disponibile e in regola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Provenienza degli animali correttamente documentata (estratto da </w:t>
            </w:r>
            <w:proofErr w:type="spellStart"/>
            <w:r>
              <w:rPr>
                <w:rFonts w:eastAsia="Times New Roman" w:cs="Arial"/>
                <w:sz w:val="18"/>
              </w:rPr>
              <w:t>BDTA</w:t>
            </w:r>
            <w:proofErr w:type="spellEnd"/>
            <w:r>
              <w:rPr>
                <w:rFonts w:eastAsia="Times New Roman" w:cs="Arial"/>
                <w:sz w:val="18"/>
              </w:rPr>
              <w:t xml:space="preserve"> disponibile)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Se necessario, un certificato veterinario è disponibile e in regola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510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u w:val="single"/>
              </w:rPr>
              <w:t>Preparazione dell’infrastruttura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Immobilizzazione degli animali eseguita (bestiame bovino)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Dispositivo di immobilizzazione preparato (bestiame bovino)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Posto scelto correttamente, pulito e in regola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Attrezzature e rimorchi di trasporto ecc. tutti puliti e controllati, presenti e in posizione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Pistola a proiettile captivo: proiettili puliti (puliti dopo il tiro) e bordi taglienti, non corrosi, munizioni corrette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Pinza da stordimento: collegamento alla rete elettrica, pinza adatta alla taglia dell’animale, denti puliti e affilati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Controllo del corretto funzionamento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Dispositivo di riserva a portata di mano, controllato e pronta all’uso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Illuminazione sufficiente sul luogo dello stordimento e del dissanguamento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Presenza di almeno 2 persone in loco (1 persona competente e 1 assistente)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63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Immobilizzazione, stordimento, dissanguamento, carico, trasporto </w:t>
            </w:r>
          </w:p>
        </w:tc>
      </w:tr>
      <w:tr>
        <w:trPr>
          <w:trHeight w:val="197"/>
        </w:trPr>
        <w:tc>
          <w:tcPr>
            <w:tcW w:w="5245" w:type="dxa"/>
          </w:tcPr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Immobilizzazione (bestiame bovino): con riguardo, il più breve possibile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15"/>
        </w:trPr>
        <w:tc>
          <w:tcPr>
            <w:tcW w:w="5245" w:type="dxa"/>
          </w:tcPr>
          <w:p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</w:rPr>
              <w:lastRenderedPageBreak/>
              <w:t>Punto di attacco corretto per pistola a proiettile captivo o arma da fuoco portatile e pinza elettrica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Parametri elettronarcosi cerebrale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suino fino a 110 kg, intensità di corrente almeno 1,3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- suino da oltre 110 kg a 160 kg, intensità di corrente </w:t>
            </w:r>
            <w:r>
              <w:rPr>
                <w:rFonts w:eastAsia="Times New Roman" w:cs="Arial"/>
                <w:sz w:val="18"/>
              </w:rPr>
              <w:br/>
              <w:t xml:space="preserve">  almeno 1,5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suino di oltre 160 kg, intensità di corrente almeno 2,0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ovino / caprino, intensità di corrente almeno 1,0 A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Flusso di corrente almeno 8 sec., per lo stordimento non automatico</w:t>
            </w:r>
          </w:p>
          <w:p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Parametri applicazione di corrente al cuore suini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(applicazione testa / cuore)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Sempre dopo l’applicazione di corrente alla testa. L’applicazione di corrente al cuore deve avvenire con parametri che, secondo le indicazioni del fabbricante degli apparecchi e degli impianti, sono idonei per la specie animale in questione.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</w:p>
          <w:p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L’</w:t>
            </w:r>
            <w:r>
              <w:rPr>
                <w:rFonts w:eastAsia="Times New Roman" w:cs="Arial"/>
                <w:b/>
                <w:sz w:val="18"/>
              </w:rPr>
              <w:t>applicazione di corrente al cuore</w:t>
            </w:r>
            <w:r>
              <w:rPr>
                <w:rFonts w:eastAsia="Times New Roman" w:cs="Arial"/>
                <w:b/>
                <w:sz w:val="18"/>
                <w:u w:val="single"/>
              </w:rPr>
              <w:t xml:space="preserve"> </w:t>
            </w:r>
            <w:r>
              <w:rPr>
                <w:rFonts w:eastAsia="Times New Roman" w:cs="Arial"/>
                <w:sz w:val="18"/>
              </w:rPr>
              <w:t>non è consentita per ovini e caprini.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93"/>
        </w:trPr>
        <w:tc>
          <w:tcPr>
            <w:tcW w:w="5245" w:type="dxa"/>
          </w:tcPr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L’efficacia dello stordimento è verificata 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Misure adeguate in caso di stordimento insufficiente</w:t>
            </w:r>
          </w:p>
          <w:p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Durata dello</w:t>
            </w:r>
            <w:r>
              <w:rPr>
                <w:rFonts w:cs="Arial"/>
                <w:color w:val="000000"/>
                <w:sz w:val="18"/>
              </w:rPr>
              <w:t xml:space="preserve"> stordimento e del dissanguamento corretta: </w:t>
            </w:r>
          </w:p>
          <w:p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stordimento con pistola a proiettile captivo: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bovini e animali della specie equina: 60 sec.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suini 20 sec.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ovini e caprini: 60 sec.</w:t>
            </w:r>
          </w:p>
          <w:p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stordimento con proiettile libero: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bovini e animali della specie equina: senza indugio</w:t>
            </w:r>
          </w:p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Elettronarcosi (solo testa)</w:t>
            </w:r>
            <w:r>
              <w:rPr>
                <w:rFonts w:cs="Arial"/>
                <w:sz w:val="18"/>
              </w:rPr>
              <w:t>: durata massima fino al dissanguamento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- suini: 10 sec. 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ovini e caprini: 5 sec.</w:t>
            </w:r>
          </w:p>
          <w:p>
            <w:pPr>
              <w:spacing w:before="60" w:after="60" w:line="20" w:lineRule="atLeast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Elettronarcosi con applicazione di corrente al cuore</w:t>
            </w:r>
            <w:r>
              <w:rPr>
                <w:rFonts w:cs="Arial"/>
                <w:sz w:val="18"/>
              </w:rPr>
              <w:t>: durata massima fino al dissanguamento</w:t>
            </w:r>
          </w:p>
          <w:p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rFonts w:cs="Arial"/>
                <w:i/>
                <w:sz w:val="18"/>
              </w:rPr>
              <w:t xml:space="preserve">- </w:t>
            </w:r>
            <w:r>
              <w:rPr>
                <w:rFonts w:eastAsia="Times New Roman" w:cs="Arial"/>
                <w:sz w:val="18"/>
              </w:rPr>
              <w:t>suini 30 sec.</w:t>
            </w:r>
          </w:p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83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La iugulazione è eseguita nel rispetto dell’igiene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(è tollerata la tecnica a 1 coltello)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Corretta esecuzione della iugulazione, fuoriuscita del sangue a fiotti (nessuna lesione di esofago e trachea)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</w:rPr>
              <w:t>Il sangue viene raccolto e consegnato al trasporto</w:t>
            </w:r>
          </w:p>
          <w:p>
            <w:pPr>
              <w:pStyle w:val="Listenabsatz"/>
              <w:spacing w:after="0" w:line="20" w:lineRule="atLeast"/>
              <w:ind w:left="17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Il dissanguamento e il sopraggiungere del decesso sono verificati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1110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Solo con il veicolo / rimorchio registrato nell’autorizzazione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Il rimorchio viene utilizzato esclusivamente per l’uccisione in azienda (nessuna derrata </w:t>
            </w:r>
            <w:proofErr w:type="spellStart"/>
            <w:r>
              <w:rPr>
                <w:rFonts w:cs="Arial"/>
                <w:sz w:val="18"/>
              </w:rPr>
              <w:t>alimentaree</w:t>
            </w:r>
            <w:proofErr w:type="spellEnd"/>
            <w:r>
              <w:rPr>
                <w:rFonts w:cs="Arial"/>
                <w:sz w:val="18"/>
              </w:rPr>
              <w:t>/o alimento per animali non imballato, nessun animale vivo)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Il veicolo / rimorchio è in condizioni pulite prima del carico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Il veicolo / rimorchio è a tenuta stagna dopo il carico, non vi sono perdite di sangue ed escrementi; le carcasse sono coperte; la parte esterna è pulita al momento della partenza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38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 xml:space="preserve">Dopo lo stordimento, la carcassa deve essere eviscerata entro 45 </w:t>
            </w:r>
            <w:r>
              <w:rPr>
                <w:rFonts w:cs="Arial"/>
                <w:sz w:val="18"/>
              </w:rPr>
              <w:t>minuti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33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Documentazione dei tempi</w:t>
            </w:r>
          </w:p>
        </w:tc>
      </w:tr>
      <w:tr>
        <w:trPr>
          <w:cantSplit/>
          <w:trHeight w:hRule="exact" w:val="533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Orario dello stordimento / </w:t>
            </w:r>
            <w:r>
              <w:rPr>
                <w:b/>
                <w:sz w:val="18"/>
              </w:rPr>
              <w:t>visto persona che effettua lo stordimento</w:t>
            </w:r>
          </w:p>
        </w:tc>
        <w:tc>
          <w:tcPr>
            <w:tcW w:w="851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cantSplit/>
          <w:trHeight w:hRule="exact" w:val="569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Orario del dissanguamento / </w:t>
            </w:r>
            <w:r>
              <w:rPr>
                <w:b/>
                <w:sz w:val="18"/>
              </w:rPr>
              <w:t>visto persona che effettua il dissanguamento</w:t>
            </w:r>
          </w:p>
        </w:tc>
        <w:tc>
          <w:tcPr>
            <w:tcW w:w="851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55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Riportare l’</w:t>
            </w:r>
            <w:r>
              <w:rPr>
                <w:rFonts w:cs="Arial"/>
                <w:color w:val="000000"/>
                <w:sz w:val="18"/>
              </w:rPr>
              <w:t xml:space="preserve">orario </w:t>
            </w:r>
            <w:r>
              <w:rPr>
                <w:sz w:val="18"/>
              </w:rPr>
              <w:t xml:space="preserve">dello stordimento e del dissanguamento nonché dell’inizio del trasporto nel documento di accompagnamento / </w:t>
            </w:r>
            <w:r>
              <w:rPr>
                <w:b/>
                <w:sz w:val="18"/>
              </w:rPr>
              <w:t>visto detentore di animali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28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Feedback del macello per sapere se 45 minuti sono stati sufficienti per l’eviscerazione dell’animale (</w:t>
            </w:r>
            <w:r>
              <w:rPr>
                <w:rFonts w:cs="Arial"/>
                <w:b/>
                <w:color w:val="000000"/>
                <w:sz w:val="18"/>
              </w:rPr>
              <w:t>sì/no / nota da parte del detentore di animali</w:t>
            </w:r>
            <w:r>
              <w:rPr>
                <w:rFonts w:cs="Arial"/>
                <w:color w:val="000000"/>
                <w:sz w:val="18"/>
              </w:rPr>
              <w:t>).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</w:tr>
    </w:tbl>
    <w:p>
      <w:pPr>
        <w:jc w:val="both"/>
        <w:rPr>
          <w:sz w:val="16"/>
          <w:szCs w:val="16"/>
        </w:rPr>
      </w:pPr>
      <w:proofErr w:type="gramStart"/>
      <w:r>
        <w:rPr>
          <w:rFonts w:cs="Arial"/>
          <w:sz w:val="16"/>
        </w:rPr>
        <w:t>Risultati:</w:t>
      </w:r>
      <w:r>
        <w:rPr>
          <w:rFonts w:cs="Arial"/>
          <w:color w:val="000000"/>
          <w:sz w:val="16"/>
        </w:rPr>
        <w:t xml:space="preserve">  </w:t>
      </w:r>
      <w:r>
        <w:rPr>
          <w:rFonts w:ascii="Wingdings" w:hAnsi="Wingdings" w:cs="Arial"/>
          <w:color w:val="000000"/>
          <w:sz w:val="18"/>
        </w:rPr>
        <w:t></w:t>
      </w:r>
      <w:proofErr w:type="gramEnd"/>
      <w:r>
        <w:rPr>
          <w:rFonts w:cs="Arial"/>
          <w:color w:val="000000"/>
          <w:sz w:val="16"/>
        </w:rPr>
        <w:t xml:space="preserve"> = soddisfatto</w:t>
      </w:r>
      <w:r>
        <w:rPr>
          <w:rFonts w:cs="Arial"/>
          <w:color w:val="000000"/>
          <w:sz w:val="16"/>
        </w:rPr>
        <w:tab/>
      </w:r>
      <w:r>
        <w:rPr>
          <w:rFonts w:cs="Arial"/>
          <w:color w:val="000000"/>
          <w:sz w:val="18"/>
        </w:rPr>
        <w:t xml:space="preserve">O </w:t>
      </w:r>
      <w:r>
        <w:rPr>
          <w:rFonts w:cs="Arial"/>
          <w:color w:val="000000"/>
          <w:sz w:val="16"/>
        </w:rPr>
        <w:t xml:space="preserve">= non soddisfatto, </w:t>
      </w:r>
      <w:r>
        <w:rPr>
          <w:rFonts w:cs="Arial"/>
          <w:b/>
          <w:color w:val="000000"/>
          <w:sz w:val="16"/>
        </w:rPr>
        <w:t>/</w:t>
      </w:r>
      <w:r>
        <w:rPr>
          <w:rFonts w:cs="Arial"/>
          <w:color w:val="000000"/>
          <w:sz w:val="16"/>
        </w:rPr>
        <w:t xml:space="preserve"> = non applicabile</w:t>
      </w:r>
      <w:r>
        <w:rPr>
          <w:rFonts w:cs="Arial"/>
          <w:color w:val="000000"/>
          <w:sz w:val="16"/>
        </w:rPr>
        <w:tab/>
      </w:r>
      <w:r>
        <w:rPr>
          <w:rFonts w:cs="Arial"/>
          <w:color w:val="000000"/>
          <w:sz w:val="16"/>
        </w:rPr>
        <w:tab/>
      </w:r>
      <w:proofErr w:type="spellStart"/>
      <w:r>
        <w:rPr>
          <w:rFonts w:cs="Arial"/>
          <w:color w:val="000000"/>
          <w:sz w:val="16"/>
        </w:rPr>
        <w:t>nc</w:t>
      </w:r>
      <w:proofErr w:type="spellEnd"/>
      <w:r>
        <w:rPr>
          <w:rFonts w:cs="Arial"/>
          <w:color w:val="000000"/>
          <w:sz w:val="16"/>
        </w:rPr>
        <w:t xml:space="preserve"> = non controllato</w:t>
      </w:r>
      <w:r>
        <w:rPr>
          <w:rFonts w:cs="Arial"/>
          <w:color w:val="000000"/>
          <w:sz w:val="16"/>
        </w:rPr>
        <w:tab/>
      </w:r>
      <w:r>
        <w:rPr>
          <w:rFonts w:cs="Arial"/>
          <w:color w:val="000000"/>
          <w:sz w:val="16"/>
        </w:rPr>
        <w:tab/>
      </w:r>
      <w:r>
        <w:rPr>
          <w:sz w:val="16"/>
        </w:rPr>
        <w:t>Versione 01.09.2022/</w:t>
      </w:r>
      <w:proofErr w:type="spellStart"/>
      <w:r>
        <w:rPr>
          <w:sz w:val="16"/>
        </w:rPr>
        <w:t>zid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jap</w:t>
      </w:r>
      <w:proofErr w:type="spellEnd"/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6187"/>
      <w:docPartObj>
        <w:docPartGallery w:val="Page Numbers (Bottom of Page)"/>
        <w:docPartUnique/>
      </w:docPartObj>
    </w:sdtPr>
    <w:sdtContent>
      <w:sdt>
        <w:sdtPr>
          <w:id w:val="-143173038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126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Pagina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tabs>
          <w:tab w:val="clear" w:pos="454"/>
          <w:tab w:val="left" w:pos="142"/>
        </w:tabs>
        <w:ind w:left="142" w:hanging="142"/>
        <w:rPr>
          <w:szCs w:val="16"/>
        </w:rPr>
      </w:pPr>
      <w:r>
        <w:rPr>
          <w:rStyle w:val="Funotenzeichen"/>
        </w:rPr>
        <w:footnoteRef/>
      </w:r>
      <w:r>
        <w:t xml:space="preserve"> Art. 5 dell’ordinanza concernente la formazione, il perfezionamento e l’aggiornamento delle persone impiegate nel settore veterinario pubblico e art. 52 </w:t>
      </w:r>
      <w:proofErr w:type="spellStart"/>
      <w:r>
        <w:t>OMCC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t xml:space="preserve"> </w:t>
    </w:r>
    <w:r>
      <w:rPr>
        <w:rFonts w:cs="Arial"/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</w:rPr>
      <w:t>Adattare il modello alla situazione concreta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F3F"/>
    <w:multiLevelType w:val="hybridMultilevel"/>
    <w:tmpl w:val="BAF6244E"/>
    <w:lvl w:ilvl="0" w:tplc="CFB85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3EE"/>
    <w:multiLevelType w:val="multilevel"/>
    <w:tmpl w:val="1F9A9AD0"/>
    <w:numStyleLink w:val="ListeNummernAltN"/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7E053F1"/>
    <w:multiLevelType w:val="multilevel"/>
    <w:tmpl w:val="FA60DFCA"/>
    <w:numStyleLink w:val="ListeAufzhlungAltX"/>
  </w:abstractNum>
  <w:abstractNum w:abstractNumId="17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10"/>
  </w:num>
  <w:num w:numId="26">
    <w:abstractNumId w:val="2"/>
  </w:num>
  <w:num w:numId="27">
    <w:abstractNumId w:val="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1A6BFDE-DA1B-443D-B658-BB66BD0CAE7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2020-08-13T09:56:00Z</cp:lastPrinted>
  <dcterms:created xsi:type="dcterms:W3CDTF">2022-11-16T16:24:00Z</dcterms:created>
  <dcterms:modified xsi:type="dcterms:W3CDTF">2022-11-16T16:24:00Z</dcterms:modified>
</cp:coreProperties>
</file>