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2FCB" w14:textId="77777777" w:rsidR="00B22866" w:rsidRDefault="00B22866" w:rsidP="00B22866">
      <w:pPr>
        <w:rPr>
          <w:rFonts w:cs="Arial"/>
          <w:b/>
          <w:sz w:val="24"/>
          <w:szCs w:val="24"/>
        </w:rPr>
      </w:pPr>
      <w:r>
        <w:rPr>
          <w:b/>
          <w:sz w:val="24"/>
          <w:szCs w:val="24"/>
        </w:rPr>
        <w:t>Directives concernant l’utilisation de données du SI ABV à des fins de recherche</w:t>
      </w:r>
    </w:p>
    <w:p w14:paraId="76712CD3" w14:textId="77777777" w:rsidR="00B22866" w:rsidRPr="002711C6" w:rsidRDefault="00B22866" w:rsidP="00B22866">
      <w:pPr>
        <w:rPr>
          <w:rFonts w:cs="Arial"/>
          <w:szCs w:val="20"/>
        </w:rPr>
      </w:pPr>
    </w:p>
    <w:p w14:paraId="6ED18FB0" w14:textId="77777777" w:rsidR="00B22866" w:rsidRPr="00600BA9" w:rsidRDefault="00B22866" w:rsidP="00B22866">
      <w:pPr>
        <w:pStyle w:val="Listenabsatz"/>
        <w:numPr>
          <w:ilvl w:val="0"/>
          <w:numId w:val="45"/>
        </w:numPr>
        <w:rPr>
          <w:rFonts w:cs="Arial"/>
          <w:b/>
          <w:szCs w:val="20"/>
        </w:rPr>
      </w:pPr>
      <w:r>
        <w:rPr>
          <w:b/>
          <w:szCs w:val="20"/>
        </w:rPr>
        <w:t>Introduction</w:t>
      </w:r>
    </w:p>
    <w:p w14:paraId="788248A6" w14:textId="77777777" w:rsidR="00B22866" w:rsidRPr="008F4159" w:rsidRDefault="00B22866" w:rsidP="00B22866">
      <w:pPr>
        <w:rPr>
          <w:rFonts w:cs="Arial"/>
          <w:szCs w:val="20"/>
        </w:rPr>
      </w:pPr>
      <w:r>
        <w:rPr>
          <w:szCs w:val="20"/>
        </w:rPr>
        <w:t>Le système d’information sur les antibiotiques en médecine vétérinaire (SI ABV) permet de saisir les données sur l’utilisation d’antibiotiques par espèce animale et type de production, par unité d’élevage et par cabinet ou clinique vétérinaire. Il est alimenté par les vétérinaires. Les données qui y sont enregistrées peuvent être communiquées sur demande, sous une forme anonymisée, à des fins de recherche</w:t>
      </w:r>
      <w:r w:rsidRPr="008F4159">
        <w:rPr>
          <w:rStyle w:val="Funotenzeichen"/>
          <w:rFonts w:cs="Arial"/>
          <w:szCs w:val="20"/>
        </w:rPr>
        <w:footnoteReference w:id="1"/>
      </w:r>
      <w:r>
        <w:rPr>
          <w:szCs w:val="20"/>
        </w:rPr>
        <w:t>. Des personnes et organisations peuvent ainsi déposer une demande et consulter ces données si elles ont obtenu le consentement des personnes visées</w:t>
      </w:r>
      <w:r w:rsidRPr="008F4159">
        <w:rPr>
          <w:rStyle w:val="Funotenzeichen"/>
          <w:rFonts w:cs="Arial"/>
          <w:szCs w:val="20"/>
        </w:rPr>
        <w:footnoteReference w:id="2"/>
      </w:r>
      <w:r>
        <w:rPr>
          <w:szCs w:val="20"/>
        </w:rPr>
        <w:t>.</w:t>
      </w:r>
    </w:p>
    <w:p w14:paraId="3929EFEE" w14:textId="77777777" w:rsidR="00B22866" w:rsidRPr="008F4159" w:rsidRDefault="00B22866" w:rsidP="00B22866">
      <w:pPr>
        <w:rPr>
          <w:rFonts w:cs="Arial"/>
          <w:szCs w:val="20"/>
        </w:rPr>
      </w:pPr>
    </w:p>
    <w:p w14:paraId="18E65F65" w14:textId="77777777" w:rsidR="00B22866" w:rsidRPr="008F4159" w:rsidRDefault="00B22866" w:rsidP="00B22866">
      <w:pPr>
        <w:rPr>
          <w:rFonts w:cs="Arial"/>
          <w:szCs w:val="20"/>
        </w:rPr>
      </w:pPr>
      <w:r>
        <w:rPr>
          <w:szCs w:val="20"/>
        </w:rPr>
        <w:t>Les présentes directives définissent les principes et la procédure applicables en cas de dépôt d’une demande de consultation de données.</w:t>
      </w:r>
    </w:p>
    <w:p w14:paraId="58E668AD" w14:textId="77777777" w:rsidR="00B22866" w:rsidRDefault="00B22866" w:rsidP="00B22866">
      <w:pPr>
        <w:rPr>
          <w:rFonts w:cs="Arial"/>
          <w:szCs w:val="20"/>
        </w:rPr>
      </w:pPr>
    </w:p>
    <w:p w14:paraId="1A4A9D86" w14:textId="77777777" w:rsidR="00B22866" w:rsidRPr="00A62777" w:rsidRDefault="00B22866" w:rsidP="00B22866">
      <w:pPr>
        <w:pStyle w:val="Listenabsatz"/>
        <w:numPr>
          <w:ilvl w:val="0"/>
          <w:numId w:val="45"/>
        </w:numPr>
        <w:rPr>
          <w:rFonts w:cs="Arial"/>
          <w:b/>
          <w:szCs w:val="20"/>
        </w:rPr>
      </w:pPr>
      <w:r>
        <w:rPr>
          <w:b/>
          <w:szCs w:val="20"/>
        </w:rPr>
        <w:t>Principes</w:t>
      </w:r>
    </w:p>
    <w:p w14:paraId="3B89EE01" w14:textId="77777777" w:rsidR="00B22866" w:rsidRDefault="00B22866" w:rsidP="00B22866">
      <w:pPr>
        <w:pStyle w:val="Listenabsatz"/>
        <w:numPr>
          <w:ilvl w:val="1"/>
          <w:numId w:val="45"/>
        </w:numPr>
        <w:rPr>
          <w:rFonts w:cs="Arial"/>
          <w:szCs w:val="20"/>
          <w:u w:val="single"/>
        </w:rPr>
      </w:pPr>
      <w:r>
        <w:rPr>
          <w:szCs w:val="20"/>
          <w:u w:val="single"/>
        </w:rPr>
        <w:t>Communication à des fins scientifiques et statistiques :</w:t>
      </w:r>
    </w:p>
    <w:p w14:paraId="357C6B6A" w14:textId="77777777" w:rsidR="00B22866" w:rsidRPr="00600BA9" w:rsidRDefault="00B22866" w:rsidP="00B22866">
      <w:pPr>
        <w:pStyle w:val="Listenabsatz"/>
        <w:numPr>
          <w:ilvl w:val="2"/>
          <w:numId w:val="45"/>
        </w:numPr>
        <w:ind w:left="1134"/>
        <w:rPr>
          <w:rFonts w:cs="Arial"/>
          <w:szCs w:val="20"/>
          <w:u w:val="single"/>
        </w:rPr>
      </w:pPr>
      <w:r>
        <w:rPr>
          <w:szCs w:val="20"/>
        </w:rPr>
        <w:t>L’OSAV peut communiquer des jeux de données spécifiques sous une forme anonymisée, regroupées dans des rapports et ce, à des fins scientifiques ou statistiques.</w:t>
      </w:r>
    </w:p>
    <w:p w14:paraId="01318D31" w14:textId="77777777" w:rsidR="00B22866" w:rsidRPr="00600BA9" w:rsidRDefault="00B22866" w:rsidP="00B22866">
      <w:pPr>
        <w:pStyle w:val="Listenabsatz"/>
        <w:numPr>
          <w:ilvl w:val="2"/>
          <w:numId w:val="45"/>
        </w:numPr>
        <w:ind w:left="1134"/>
        <w:rPr>
          <w:rFonts w:cs="Arial"/>
          <w:szCs w:val="20"/>
          <w:u w:val="single"/>
        </w:rPr>
      </w:pPr>
      <w:r>
        <w:rPr>
          <w:szCs w:val="20"/>
        </w:rPr>
        <w:t>Les objectifs scientifiques ou statistiques pour lesquels les données sont communiquées doivent contribuer au sens large à la réalisation de l’objectif global de la Stratégie Antibiorésistance Suisse (</w:t>
      </w:r>
      <w:proofErr w:type="spellStart"/>
      <w:r>
        <w:rPr>
          <w:szCs w:val="20"/>
        </w:rPr>
        <w:t>StAR</w:t>
      </w:r>
      <w:proofErr w:type="spellEnd"/>
      <w:r>
        <w:rPr>
          <w:szCs w:val="20"/>
        </w:rPr>
        <w:t>), à savoir garantir à long terme l’efficacité des antibiotiques chez l’homme et l’animal et endiguer le développement des résistances. Peuvent notamment en faire partie, selon la problématique, des thématiques transversales telles que l’approche One Health, la santé animale, la protection des animaux ou la sécurité des denrées alimentaires.</w:t>
      </w:r>
    </w:p>
    <w:p w14:paraId="65022F72" w14:textId="77777777" w:rsidR="00B22866" w:rsidRPr="00600BA9" w:rsidRDefault="00B22866" w:rsidP="00B22866">
      <w:pPr>
        <w:pStyle w:val="Listenabsatz"/>
        <w:numPr>
          <w:ilvl w:val="2"/>
          <w:numId w:val="45"/>
        </w:numPr>
        <w:ind w:left="1134"/>
        <w:rPr>
          <w:rFonts w:cs="Arial"/>
          <w:szCs w:val="20"/>
          <w:u w:val="single"/>
        </w:rPr>
      </w:pPr>
      <w:r>
        <w:rPr>
          <w:szCs w:val="20"/>
        </w:rPr>
        <w:t>L’OSAV vérifie que les requérants sont dignes de confiance et qu’ils feront donc une utilisation précautionneuse des données. En cas de doute, la demande d’accès aux données peut être refusée.</w:t>
      </w:r>
    </w:p>
    <w:p w14:paraId="1FE30D6C" w14:textId="77777777" w:rsidR="00B22866" w:rsidRPr="00600BA9" w:rsidRDefault="00B22866" w:rsidP="00B22866">
      <w:pPr>
        <w:pStyle w:val="Listenabsatz"/>
        <w:numPr>
          <w:ilvl w:val="2"/>
          <w:numId w:val="45"/>
        </w:numPr>
        <w:ind w:left="1134"/>
        <w:rPr>
          <w:rFonts w:cs="Arial"/>
          <w:szCs w:val="20"/>
          <w:u w:val="single"/>
        </w:rPr>
      </w:pPr>
      <w:r w:rsidRPr="004F141C">
        <w:rPr>
          <w:rFonts w:cs="Arial"/>
          <w:szCs w:val="20"/>
        </w:rPr>
        <w:t xml:space="preserve">Les chercheurs sont tenus de se conformer en tout temps aux principes </w:t>
      </w:r>
      <w:hyperlink r:id="rId10" w:history="1">
        <w:r w:rsidRPr="004F141C">
          <w:rPr>
            <w:rStyle w:val="Hyperlink"/>
            <w:rFonts w:cs="Arial"/>
            <w:szCs w:val="20"/>
          </w:rPr>
          <w:t>d’intégrité scientifique</w:t>
        </w:r>
      </w:hyperlink>
      <w:r w:rsidRPr="008F4159">
        <w:rPr>
          <w:rStyle w:val="Funotenzeichen"/>
          <w:rFonts w:cs="Arial"/>
          <w:szCs w:val="20"/>
        </w:rPr>
        <w:footnoteReference w:id="3"/>
      </w:r>
      <w:r>
        <w:rPr>
          <w:szCs w:val="20"/>
        </w:rPr>
        <w:t>.</w:t>
      </w:r>
    </w:p>
    <w:p w14:paraId="6486A17A" w14:textId="77777777" w:rsidR="00B22866" w:rsidRPr="008F4159" w:rsidRDefault="00B22866" w:rsidP="00B22866">
      <w:pPr>
        <w:ind w:left="720"/>
        <w:rPr>
          <w:rFonts w:cs="Arial"/>
          <w:szCs w:val="20"/>
        </w:rPr>
      </w:pPr>
    </w:p>
    <w:p w14:paraId="1BEDBCD5" w14:textId="77777777" w:rsidR="00B22866" w:rsidRDefault="00B22866" w:rsidP="00B22866">
      <w:pPr>
        <w:pStyle w:val="Listenabsatz"/>
        <w:numPr>
          <w:ilvl w:val="1"/>
          <w:numId w:val="45"/>
        </w:numPr>
        <w:rPr>
          <w:rFonts w:cs="Arial"/>
          <w:szCs w:val="20"/>
          <w:u w:val="single"/>
        </w:rPr>
      </w:pPr>
      <w:r>
        <w:rPr>
          <w:szCs w:val="20"/>
          <w:u w:val="single"/>
        </w:rPr>
        <w:t>Données propres :</w:t>
      </w:r>
    </w:p>
    <w:p w14:paraId="0A72065B" w14:textId="2840133B" w:rsidR="00B22866" w:rsidRPr="003A24D6" w:rsidRDefault="00B22866" w:rsidP="003D3070">
      <w:pPr>
        <w:pStyle w:val="Listenabsatz"/>
        <w:numPr>
          <w:ilvl w:val="2"/>
          <w:numId w:val="45"/>
        </w:numPr>
        <w:rPr>
          <w:rFonts w:cs="Arial"/>
          <w:szCs w:val="20"/>
          <w:u w:val="single"/>
        </w:rPr>
      </w:pPr>
      <w:r>
        <w:rPr>
          <w:szCs w:val="20"/>
        </w:rPr>
        <w:t>Les personnes visées (vétérinaires et détenteurs d’animaux) peuvent donner leur consentement</w:t>
      </w:r>
      <w:r>
        <w:rPr>
          <w:rStyle w:val="Funotenzeichen"/>
          <w:rFonts w:cs="Arial"/>
          <w:szCs w:val="20"/>
        </w:rPr>
        <w:footnoteReference w:id="4"/>
      </w:r>
      <w:r>
        <w:rPr>
          <w:szCs w:val="20"/>
        </w:rPr>
        <w:t xml:space="preserve"> par écrit à la remise de leurs propres données à d’autres personnes ou organisations (</w:t>
      </w:r>
      <w:r w:rsidRPr="004B3CA4">
        <w:rPr>
          <w:szCs w:val="20"/>
        </w:rPr>
        <w:t xml:space="preserve">voir </w:t>
      </w:r>
      <w:r w:rsidRPr="003D3070">
        <w:rPr>
          <w:szCs w:val="20"/>
        </w:rPr>
        <w:t xml:space="preserve">formulaire </w:t>
      </w:r>
      <w:r w:rsidR="003D3070">
        <w:rPr>
          <w:szCs w:val="20"/>
        </w:rPr>
        <w:t>«</w:t>
      </w:r>
      <w:r w:rsidR="003D3070" w:rsidRPr="003D3070">
        <w:rPr>
          <w:i/>
          <w:szCs w:val="20"/>
        </w:rPr>
        <w:t>Déclaration de consentement à l’utilisation des données à des fins de recherche</w:t>
      </w:r>
      <w:r w:rsidR="004B3CA4" w:rsidRPr="003D3070">
        <w:rPr>
          <w:szCs w:val="20"/>
        </w:rPr>
        <w:t>»</w:t>
      </w:r>
      <w:r>
        <w:rPr>
          <w:szCs w:val="20"/>
        </w:rPr>
        <w:t>. Il convient de noter dans ce contexte qu’aussi bien les détenteurs d’animaux que les vétérinaires sont dans la plupart des cas tenus de donner leur consentement.</w:t>
      </w:r>
    </w:p>
    <w:p w14:paraId="3D2E82EB" w14:textId="1434B909" w:rsidR="003A24D6" w:rsidRPr="003A24D6" w:rsidRDefault="003A24D6" w:rsidP="003D3070">
      <w:pPr>
        <w:pStyle w:val="Listenabsatz"/>
        <w:numPr>
          <w:ilvl w:val="2"/>
          <w:numId w:val="45"/>
        </w:numPr>
        <w:rPr>
          <w:rFonts w:cs="Arial"/>
          <w:szCs w:val="20"/>
        </w:rPr>
      </w:pPr>
      <w:r w:rsidRPr="003A24D6">
        <w:rPr>
          <w:rFonts w:cs="Arial"/>
          <w:szCs w:val="20"/>
        </w:rPr>
        <w:t>L'OFAG reçoit du requérant une liste des cabinets vétérinaires et / ou des élevages demandés. Celle-ci contient si possible les identificateurs appropriés que sont les numéros BDTA, IDE et REE. En signant la demande d'obtention de données, le demandeur confirme que des "déclarations de consentement à l'utilisation des données à des fins de recherche" complètes existent pour toutes les entrées de cette/ces liste(s). Le demandeur est responsable de l'exhaustivité et de l'exactitude des listes. L'OFAG vérifie si les données mentionnées dans la déclaration de consentement correspondent à celles que le de</w:t>
      </w:r>
      <w:r w:rsidRPr="003A24D6">
        <w:rPr>
          <w:rFonts w:cs="Arial"/>
          <w:szCs w:val="20"/>
        </w:rPr>
        <w:lastRenderedPageBreak/>
        <w:t>mandeur demande concrètement pour son projet de recherche. Pour ce faire, l'OFAG vérifie par échantillonnage si les vétérinaires et/ou les détenteurs d'animaux figurant sur la/les liste(s) ont donné leur consentement sur la base des déclarations de consentement disponibles ou en se renseignant auprès des personnes concernées.</w:t>
      </w:r>
    </w:p>
    <w:p w14:paraId="536A95C4" w14:textId="77777777" w:rsidR="00B22866" w:rsidRPr="008F4159" w:rsidRDefault="00B22866" w:rsidP="00B22866">
      <w:pPr>
        <w:rPr>
          <w:rFonts w:cs="Arial"/>
          <w:szCs w:val="20"/>
        </w:rPr>
      </w:pPr>
    </w:p>
    <w:p w14:paraId="3B006FB2" w14:textId="77777777" w:rsidR="00B22866" w:rsidRDefault="00B22866" w:rsidP="00B22866">
      <w:pPr>
        <w:pStyle w:val="Listenabsatz"/>
        <w:numPr>
          <w:ilvl w:val="1"/>
          <w:numId w:val="45"/>
        </w:numPr>
        <w:rPr>
          <w:rFonts w:cs="Arial"/>
          <w:szCs w:val="20"/>
          <w:u w:val="single"/>
        </w:rPr>
      </w:pPr>
      <w:r>
        <w:rPr>
          <w:szCs w:val="20"/>
          <w:u w:val="single"/>
        </w:rPr>
        <w:t>Demandes :</w:t>
      </w:r>
    </w:p>
    <w:p w14:paraId="1AC9E44C" w14:textId="77777777" w:rsidR="00B22866" w:rsidRPr="00600BA9" w:rsidRDefault="00B22866" w:rsidP="00B22866">
      <w:pPr>
        <w:pStyle w:val="Listenabsatz"/>
        <w:numPr>
          <w:ilvl w:val="2"/>
          <w:numId w:val="45"/>
        </w:numPr>
        <w:rPr>
          <w:rFonts w:cs="Arial"/>
          <w:szCs w:val="20"/>
          <w:u w:val="single"/>
        </w:rPr>
      </w:pPr>
      <w:r>
        <w:rPr>
          <w:szCs w:val="20"/>
        </w:rPr>
        <w:t>Les demandes d’accès à des données provenant du système SI ABV doivent être adressées à l’OSAV selon les instructions qui suivent.</w:t>
      </w:r>
    </w:p>
    <w:p w14:paraId="4E47E8E9" w14:textId="77777777" w:rsidR="00B22866" w:rsidRPr="00F03177" w:rsidRDefault="00B22866" w:rsidP="00B22866">
      <w:pPr>
        <w:pStyle w:val="Listenabsatz"/>
        <w:numPr>
          <w:ilvl w:val="2"/>
          <w:numId w:val="45"/>
        </w:numPr>
        <w:rPr>
          <w:rFonts w:cs="Arial"/>
          <w:szCs w:val="20"/>
          <w:u w:val="single"/>
        </w:rPr>
      </w:pPr>
      <w:r>
        <w:rPr>
          <w:szCs w:val="20"/>
        </w:rPr>
        <w:t>L’OSAV examine chaque demande pour vérifier si elle répond aux exigences énoncées dans le présent règlement.</w:t>
      </w:r>
    </w:p>
    <w:p w14:paraId="37BF206A" w14:textId="77777777" w:rsidR="00B22866" w:rsidRPr="00703442" w:rsidRDefault="00B22866" w:rsidP="00B22866">
      <w:pPr>
        <w:pStyle w:val="Listenabsatz"/>
        <w:numPr>
          <w:ilvl w:val="2"/>
          <w:numId w:val="45"/>
        </w:numPr>
        <w:rPr>
          <w:rFonts w:cs="Arial"/>
          <w:szCs w:val="20"/>
          <w:u w:val="single"/>
        </w:rPr>
      </w:pPr>
      <w:r>
        <w:rPr>
          <w:szCs w:val="20"/>
        </w:rPr>
        <w:t>L’OSAV peut demander au requérant de modifier sa demande.</w:t>
      </w:r>
    </w:p>
    <w:p w14:paraId="3A4B6052" w14:textId="77777777" w:rsidR="00B22866" w:rsidRPr="00F03177" w:rsidRDefault="00B22866" w:rsidP="00B22866">
      <w:pPr>
        <w:pStyle w:val="Listenabsatz"/>
        <w:numPr>
          <w:ilvl w:val="2"/>
          <w:numId w:val="45"/>
        </w:numPr>
        <w:rPr>
          <w:rFonts w:cs="Arial"/>
          <w:szCs w:val="20"/>
          <w:u w:val="single"/>
        </w:rPr>
      </w:pPr>
      <w:r>
        <w:rPr>
          <w:szCs w:val="20"/>
        </w:rPr>
        <w:t>L’OSAV peut demander des références au requérant.</w:t>
      </w:r>
    </w:p>
    <w:p w14:paraId="78BAED25" w14:textId="77777777" w:rsidR="00B22866" w:rsidRPr="008F4159" w:rsidRDefault="00B22866" w:rsidP="00B22866">
      <w:pPr>
        <w:rPr>
          <w:rFonts w:cs="Arial"/>
          <w:szCs w:val="20"/>
        </w:rPr>
      </w:pPr>
    </w:p>
    <w:p w14:paraId="3628AFF5" w14:textId="77777777" w:rsidR="00B22866" w:rsidRDefault="00B22866" w:rsidP="00B22866">
      <w:pPr>
        <w:pStyle w:val="Listenabsatz"/>
        <w:numPr>
          <w:ilvl w:val="1"/>
          <w:numId w:val="45"/>
        </w:numPr>
        <w:rPr>
          <w:rFonts w:cs="Arial"/>
          <w:szCs w:val="20"/>
          <w:u w:val="single"/>
        </w:rPr>
      </w:pPr>
      <w:r>
        <w:rPr>
          <w:szCs w:val="20"/>
          <w:u w:val="single"/>
        </w:rPr>
        <w:t>Remise et destruction des données :</w:t>
      </w:r>
    </w:p>
    <w:p w14:paraId="51F32C3C" w14:textId="77777777" w:rsidR="00B22866" w:rsidRPr="00600BA9" w:rsidRDefault="00B22866" w:rsidP="00B22866">
      <w:pPr>
        <w:pStyle w:val="Listenabsatz"/>
        <w:numPr>
          <w:ilvl w:val="2"/>
          <w:numId w:val="45"/>
        </w:numPr>
        <w:rPr>
          <w:rFonts w:cs="Arial"/>
          <w:szCs w:val="20"/>
          <w:u w:val="single"/>
        </w:rPr>
      </w:pPr>
      <w:r>
        <w:rPr>
          <w:szCs w:val="20"/>
        </w:rPr>
        <w:t>Les dispositions relatives à la protection des données doivent être respectées</w:t>
      </w:r>
      <w:r w:rsidRPr="008F4159">
        <w:rPr>
          <w:rStyle w:val="Funotenzeichen"/>
          <w:rFonts w:cs="Arial"/>
          <w:szCs w:val="20"/>
        </w:rPr>
        <w:footnoteReference w:id="5"/>
      </w:r>
      <w:r>
        <w:rPr>
          <w:szCs w:val="20"/>
        </w:rPr>
        <w:t>.</w:t>
      </w:r>
    </w:p>
    <w:p w14:paraId="78F4D8A7" w14:textId="77777777" w:rsidR="00B22866" w:rsidRPr="00600BA9" w:rsidRDefault="00B22866" w:rsidP="00B22866">
      <w:pPr>
        <w:pStyle w:val="Listenabsatz"/>
        <w:numPr>
          <w:ilvl w:val="2"/>
          <w:numId w:val="45"/>
        </w:numPr>
        <w:rPr>
          <w:rFonts w:cs="Arial"/>
          <w:szCs w:val="20"/>
          <w:u w:val="single"/>
        </w:rPr>
      </w:pPr>
      <w:r>
        <w:rPr>
          <w:szCs w:val="20"/>
        </w:rPr>
        <w:t>Seules des données validées sont remises.</w:t>
      </w:r>
    </w:p>
    <w:p w14:paraId="64287D38" w14:textId="77777777" w:rsidR="00B22866" w:rsidRPr="00600BA9" w:rsidRDefault="00B22866" w:rsidP="00B22866">
      <w:pPr>
        <w:pStyle w:val="Listenabsatz"/>
        <w:numPr>
          <w:ilvl w:val="2"/>
          <w:numId w:val="45"/>
        </w:numPr>
        <w:rPr>
          <w:rFonts w:cs="Arial"/>
          <w:szCs w:val="20"/>
          <w:u w:val="single"/>
        </w:rPr>
      </w:pPr>
      <w:r>
        <w:rPr>
          <w:szCs w:val="20"/>
        </w:rPr>
        <w:t>Un accord valide doit avoir été signé avant la remise des données.</w:t>
      </w:r>
    </w:p>
    <w:p w14:paraId="0058C59C" w14:textId="77777777" w:rsidR="00B22866" w:rsidRPr="00600BA9" w:rsidRDefault="00B22866" w:rsidP="00B22866">
      <w:pPr>
        <w:pStyle w:val="Listenabsatz"/>
        <w:numPr>
          <w:ilvl w:val="2"/>
          <w:numId w:val="45"/>
        </w:numPr>
        <w:rPr>
          <w:rFonts w:cs="Arial"/>
          <w:szCs w:val="20"/>
          <w:u w:val="single"/>
        </w:rPr>
      </w:pPr>
      <w:r>
        <w:rPr>
          <w:szCs w:val="20"/>
        </w:rPr>
        <w:t>Aucune donnée ne peut être transmise à des tiers sans l’autorisation de l’OSAV.</w:t>
      </w:r>
    </w:p>
    <w:p w14:paraId="68A1933D" w14:textId="77777777" w:rsidR="00B22866" w:rsidRPr="00600BA9" w:rsidRDefault="00B22866" w:rsidP="00B22866">
      <w:pPr>
        <w:pStyle w:val="Listenabsatz"/>
        <w:numPr>
          <w:ilvl w:val="2"/>
          <w:numId w:val="45"/>
        </w:numPr>
        <w:rPr>
          <w:rFonts w:cs="Arial"/>
          <w:szCs w:val="20"/>
          <w:u w:val="single"/>
        </w:rPr>
      </w:pPr>
      <w:r>
        <w:rPr>
          <w:szCs w:val="20"/>
        </w:rPr>
        <w:t>Toute modification du projet, par ex. sous forme de prolongation ou d’extension, doit être autorisée par l’OSAV.</w:t>
      </w:r>
    </w:p>
    <w:p w14:paraId="199A7364" w14:textId="77777777" w:rsidR="00B22866" w:rsidRPr="00600BA9" w:rsidRDefault="00B22866" w:rsidP="00B22866">
      <w:pPr>
        <w:pStyle w:val="Listenabsatz"/>
        <w:numPr>
          <w:ilvl w:val="2"/>
          <w:numId w:val="45"/>
        </w:numPr>
        <w:rPr>
          <w:rFonts w:cs="Arial"/>
          <w:szCs w:val="20"/>
          <w:u w:val="single"/>
        </w:rPr>
      </w:pPr>
      <w:r>
        <w:rPr>
          <w:szCs w:val="20"/>
        </w:rPr>
        <w:t xml:space="preserve">Toutes les données doivent être détruites à l’expiration du délai convenu. La destruction des données doit être communiquée à l’OSAV. </w:t>
      </w:r>
    </w:p>
    <w:p w14:paraId="5549783A" w14:textId="77777777" w:rsidR="00B22866" w:rsidRPr="008F4159" w:rsidRDefault="00B22866" w:rsidP="00B22866">
      <w:pPr>
        <w:rPr>
          <w:rFonts w:cs="Arial"/>
          <w:szCs w:val="20"/>
        </w:rPr>
      </w:pPr>
    </w:p>
    <w:p w14:paraId="7E962C0C" w14:textId="77777777" w:rsidR="00B22866" w:rsidRDefault="00B22866" w:rsidP="00B22866">
      <w:pPr>
        <w:pStyle w:val="Listenabsatz"/>
        <w:numPr>
          <w:ilvl w:val="1"/>
          <w:numId w:val="45"/>
        </w:numPr>
        <w:rPr>
          <w:rFonts w:cs="Arial"/>
          <w:szCs w:val="20"/>
          <w:u w:val="single"/>
        </w:rPr>
      </w:pPr>
      <w:r>
        <w:rPr>
          <w:szCs w:val="20"/>
          <w:u w:val="single"/>
        </w:rPr>
        <w:t>Publications :</w:t>
      </w:r>
    </w:p>
    <w:p w14:paraId="6224C689" w14:textId="77777777" w:rsidR="00B22866" w:rsidRPr="00600BA9" w:rsidRDefault="00B22866" w:rsidP="00B22866">
      <w:pPr>
        <w:pStyle w:val="Listenabsatz"/>
        <w:numPr>
          <w:ilvl w:val="2"/>
          <w:numId w:val="45"/>
        </w:numPr>
        <w:rPr>
          <w:rFonts w:cs="Arial"/>
          <w:szCs w:val="20"/>
          <w:u w:val="single"/>
        </w:rPr>
      </w:pPr>
      <w:r>
        <w:rPr>
          <w:szCs w:val="20"/>
        </w:rPr>
        <w:t>Toute publication ou présentation de données ou de résultats qui en découlent doit être soumise au préalable à l’OSAV et approuvée par lui, en particulier pour s’assurer du respect des exigences légales en matière de protection des données.</w:t>
      </w:r>
    </w:p>
    <w:p w14:paraId="37E1717A" w14:textId="77777777" w:rsidR="00B22866" w:rsidRPr="00600BA9" w:rsidRDefault="00B22866" w:rsidP="00B22866">
      <w:pPr>
        <w:pStyle w:val="Listenabsatz"/>
        <w:numPr>
          <w:ilvl w:val="2"/>
          <w:numId w:val="45"/>
        </w:numPr>
        <w:rPr>
          <w:rFonts w:cs="Arial"/>
          <w:szCs w:val="20"/>
          <w:u w:val="single"/>
        </w:rPr>
      </w:pPr>
      <w:r>
        <w:rPr>
          <w:szCs w:val="20"/>
        </w:rPr>
        <w:t xml:space="preserve">Il peut s’agir par ex. de publications dans des revues spécialisées ou des magazines grand public, de posters, d’articles de presse ou de </w:t>
      </w:r>
      <w:proofErr w:type="spellStart"/>
      <w:r>
        <w:rPr>
          <w:szCs w:val="20"/>
        </w:rPr>
        <w:t>posts</w:t>
      </w:r>
      <w:proofErr w:type="spellEnd"/>
      <w:r>
        <w:rPr>
          <w:szCs w:val="20"/>
        </w:rPr>
        <w:t xml:space="preserve"> sur les réseaux sociaux, d’exposés ou de cours.</w:t>
      </w:r>
    </w:p>
    <w:p w14:paraId="5ECB2AE3" w14:textId="77777777" w:rsidR="00B22866" w:rsidRPr="008F4159" w:rsidRDefault="00B22866" w:rsidP="00B22866">
      <w:pPr>
        <w:rPr>
          <w:rFonts w:cs="Arial"/>
          <w:szCs w:val="20"/>
        </w:rPr>
      </w:pPr>
    </w:p>
    <w:p w14:paraId="333930F0" w14:textId="77777777" w:rsidR="00B22866" w:rsidRDefault="00B22866" w:rsidP="00B22866">
      <w:pPr>
        <w:pStyle w:val="Listenabsatz"/>
        <w:numPr>
          <w:ilvl w:val="1"/>
          <w:numId w:val="45"/>
        </w:numPr>
        <w:rPr>
          <w:rFonts w:cs="Arial"/>
          <w:szCs w:val="20"/>
        </w:rPr>
      </w:pPr>
      <w:r>
        <w:rPr>
          <w:szCs w:val="20"/>
          <w:u w:val="single"/>
        </w:rPr>
        <w:t>Coûts :</w:t>
      </w:r>
    </w:p>
    <w:p w14:paraId="3417454C" w14:textId="77777777" w:rsidR="00B22866" w:rsidRPr="004B03B8" w:rsidRDefault="00B22866" w:rsidP="00B22866">
      <w:pPr>
        <w:pStyle w:val="Listenabsatz"/>
        <w:numPr>
          <w:ilvl w:val="2"/>
          <w:numId w:val="45"/>
        </w:numPr>
        <w:rPr>
          <w:rFonts w:cs="Arial"/>
          <w:szCs w:val="20"/>
        </w:rPr>
      </w:pPr>
      <w:r>
        <w:rPr>
          <w:szCs w:val="20"/>
        </w:rPr>
        <w:t>La remise de jeux de données est gratuite, pour autant que la charge de travail de l’OSAV qui est requise pour la compilation de ces données soit raisonnable.</w:t>
      </w:r>
    </w:p>
    <w:p w14:paraId="7BCA53D7" w14:textId="77777777" w:rsidR="00B22866" w:rsidRDefault="00B22866" w:rsidP="00B22866">
      <w:pPr>
        <w:pStyle w:val="Listenabsatz"/>
        <w:numPr>
          <w:ilvl w:val="2"/>
          <w:numId w:val="45"/>
        </w:numPr>
        <w:rPr>
          <w:rFonts w:cs="Arial"/>
          <w:szCs w:val="20"/>
        </w:rPr>
      </w:pPr>
      <w:r>
        <w:rPr>
          <w:szCs w:val="20"/>
        </w:rPr>
        <w:t>Si la charge de travail nécessaire pour la compilation des jeux de données souhaités est disproportionnée, l’OSAV la facture au requérant. Dans ce cas, ce sont les dispositions de l’ordonnance générale sur les émoluments qui s’appliquent</w:t>
      </w:r>
      <w:r>
        <w:rPr>
          <w:rStyle w:val="Funotenzeichen"/>
          <w:rFonts w:cs="Arial"/>
          <w:szCs w:val="20"/>
        </w:rPr>
        <w:footnoteReference w:id="6"/>
      </w:r>
      <w:r>
        <w:rPr>
          <w:szCs w:val="20"/>
        </w:rPr>
        <w:t xml:space="preserve">. </w:t>
      </w:r>
    </w:p>
    <w:p w14:paraId="1BFF5A24" w14:textId="77777777" w:rsidR="00B22866" w:rsidRPr="00600BA9" w:rsidRDefault="00B22866" w:rsidP="00B22866">
      <w:pPr>
        <w:pStyle w:val="Listenabsatz"/>
        <w:numPr>
          <w:ilvl w:val="2"/>
          <w:numId w:val="45"/>
        </w:numPr>
        <w:rPr>
          <w:rFonts w:cs="Arial"/>
          <w:szCs w:val="20"/>
        </w:rPr>
      </w:pPr>
      <w:r>
        <w:rPr>
          <w:szCs w:val="20"/>
        </w:rPr>
        <w:t>Le montant des émoluments est communiqué au requérant avant l’établissement de l’accord juridiquement contraignant, et les travaux de compilation débutent seulement après accord du requérant.</w:t>
      </w:r>
    </w:p>
    <w:p w14:paraId="2E31D472" w14:textId="77777777" w:rsidR="00B22866" w:rsidRPr="008F4159" w:rsidRDefault="00B22866" w:rsidP="00B22866">
      <w:pPr>
        <w:rPr>
          <w:rFonts w:cs="Arial"/>
          <w:szCs w:val="20"/>
        </w:rPr>
      </w:pPr>
    </w:p>
    <w:p w14:paraId="48AFEA30" w14:textId="77777777" w:rsidR="00B22866" w:rsidRDefault="00B22866" w:rsidP="00B22866">
      <w:pPr>
        <w:pStyle w:val="Listenabsatz"/>
        <w:numPr>
          <w:ilvl w:val="1"/>
          <w:numId w:val="45"/>
        </w:numPr>
        <w:rPr>
          <w:rFonts w:cs="Arial"/>
          <w:szCs w:val="20"/>
          <w:u w:val="single"/>
        </w:rPr>
      </w:pPr>
      <w:r>
        <w:rPr>
          <w:szCs w:val="20"/>
          <w:u w:val="single"/>
        </w:rPr>
        <w:t>Délais :</w:t>
      </w:r>
    </w:p>
    <w:p w14:paraId="1FB805F0" w14:textId="77777777" w:rsidR="00B22866" w:rsidRPr="00A62777" w:rsidRDefault="00B22866" w:rsidP="00B22866">
      <w:pPr>
        <w:pStyle w:val="Listenabsatz"/>
        <w:numPr>
          <w:ilvl w:val="2"/>
          <w:numId w:val="45"/>
        </w:numPr>
        <w:rPr>
          <w:rFonts w:cs="Arial"/>
          <w:szCs w:val="20"/>
          <w:u w:val="single"/>
        </w:rPr>
      </w:pPr>
      <w:r>
        <w:rPr>
          <w:szCs w:val="20"/>
        </w:rPr>
        <w:t>Les demandes peuvent être adressées à tout moment à l’OSAV.</w:t>
      </w:r>
    </w:p>
    <w:p w14:paraId="71C87B23" w14:textId="77777777" w:rsidR="00B22866" w:rsidRPr="00A62777" w:rsidRDefault="00B22866" w:rsidP="00B22866">
      <w:pPr>
        <w:pStyle w:val="Listenabsatz"/>
        <w:numPr>
          <w:ilvl w:val="2"/>
          <w:numId w:val="45"/>
        </w:numPr>
        <w:rPr>
          <w:rFonts w:cs="Arial"/>
          <w:szCs w:val="20"/>
          <w:u w:val="single"/>
        </w:rPr>
      </w:pPr>
      <w:r>
        <w:rPr>
          <w:szCs w:val="20"/>
        </w:rPr>
        <w:t>L’OSAV se réserve le droit de prioriser ou de différer des demandes si toutes les demandes reçues exigent un temps de traitement supérieur à la moyenne.</w:t>
      </w:r>
    </w:p>
    <w:p w14:paraId="3328DB56" w14:textId="77777777" w:rsidR="00B22866" w:rsidRPr="008F4159" w:rsidRDefault="00B22866" w:rsidP="00B22866">
      <w:pPr>
        <w:rPr>
          <w:rFonts w:cs="Arial"/>
          <w:szCs w:val="20"/>
        </w:rPr>
      </w:pPr>
    </w:p>
    <w:p w14:paraId="41734231" w14:textId="493639E6" w:rsidR="003A24D6" w:rsidRDefault="003A24D6">
      <w:pPr>
        <w:spacing w:line="240" w:lineRule="auto"/>
        <w:rPr>
          <w:rFonts w:cs="Arial"/>
          <w:b/>
          <w:szCs w:val="20"/>
        </w:rPr>
      </w:pPr>
      <w:r>
        <w:rPr>
          <w:rFonts w:cs="Arial"/>
          <w:b/>
          <w:szCs w:val="20"/>
        </w:rPr>
        <w:br w:type="page"/>
      </w:r>
    </w:p>
    <w:p w14:paraId="7DBF245E" w14:textId="77777777" w:rsidR="00B22866" w:rsidRPr="00F03177" w:rsidRDefault="00B22866" w:rsidP="00B22866">
      <w:pPr>
        <w:pStyle w:val="Listenabsatz"/>
        <w:numPr>
          <w:ilvl w:val="0"/>
          <w:numId w:val="45"/>
        </w:numPr>
        <w:rPr>
          <w:rFonts w:cs="Arial"/>
          <w:b/>
          <w:szCs w:val="20"/>
        </w:rPr>
      </w:pPr>
      <w:r>
        <w:rPr>
          <w:b/>
          <w:szCs w:val="20"/>
        </w:rPr>
        <w:lastRenderedPageBreak/>
        <w:t>Instructions pour la présentation de demandes d’accès à des données provenant du système SI ABV</w:t>
      </w:r>
    </w:p>
    <w:p w14:paraId="28E330CC" w14:textId="77777777" w:rsidR="00B22866" w:rsidRDefault="00B22866" w:rsidP="00B22866">
      <w:pPr>
        <w:rPr>
          <w:rFonts w:cs="Arial"/>
          <w:szCs w:val="20"/>
        </w:rPr>
      </w:pPr>
      <w:r>
        <w:rPr>
          <w:szCs w:val="20"/>
        </w:rPr>
        <w:t>Le requérant doit envoyer un courriel à l’OSAV en précisant les informations suivantes :</w:t>
      </w:r>
    </w:p>
    <w:p w14:paraId="2ED3C552" w14:textId="77777777" w:rsidR="00B22866" w:rsidRDefault="00B22866" w:rsidP="00B22866">
      <w:pPr>
        <w:rPr>
          <w:rFonts w:cs="Arial"/>
          <w:szCs w:val="20"/>
        </w:rPr>
      </w:pPr>
    </w:p>
    <w:tbl>
      <w:tblPr>
        <w:tblStyle w:val="Tabellenraster"/>
        <w:tblW w:w="9351" w:type="dxa"/>
        <w:tblLook w:val="04A0" w:firstRow="1" w:lastRow="0" w:firstColumn="1" w:lastColumn="0" w:noHBand="0" w:noVBand="1"/>
      </w:tblPr>
      <w:tblGrid>
        <w:gridCol w:w="2206"/>
        <w:gridCol w:w="4877"/>
        <w:gridCol w:w="2268"/>
      </w:tblGrid>
      <w:tr w:rsidR="00B22866" w14:paraId="06EB93A7" w14:textId="77777777" w:rsidTr="00B65393">
        <w:tc>
          <w:tcPr>
            <w:tcW w:w="2206" w:type="dxa"/>
            <w:shd w:val="clear" w:color="auto" w:fill="D9D9D9" w:themeFill="background1" w:themeFillShade="D9"/>
          </w:tcPr>
          <w:p w14:paraId="0D45B202" w14:textId="77777777" w:rsidR="00B22866" w:rsidRDefault="00B22866" w:rsidP="00B65393">
            <w:pPr>
              <w:rPr>
                <w:rFonts w:cs="Arial"/>
                <w:szCs w:val="20"/>
              </w:rPr>
            </w:pPr>
            <w:r>
              <w:rPr>
                <w:szCs w:val="20"/>
              </w:rPr>
              <w:t>Données concernant</w:t>
            </w:r>
          </w:p>
        </w:tc>
        <w:tc>
          <w:tcPr>
            <w:tcW w:w="4877" w:type="dxa"/>
            <w:shd w:val="clear" w:color="auto" w:fill="D9D9D9" w:themeFill="background1" w:themeFillShade="D9"/>
          </w:tcPr>
          <w:p w14:paraId="45CABAB0" w14:textId="77777777" w:rsidR="00B22866" w:rsidRDefault="00B22866" w:rsidP="00B65393">
            <w:pPr>
              <w:rPr>
                <w:rFonts w:cs="Arial"/>
                <w:szCs w:val="20"/>
              </w:rPr>
            </w:pPr>
            <w:r>
              <w:rPr>
                <w:szCs w:val="20"/>
              </w:rPr>
              <w:t>Description</w:t>
            </w:r>
          </w:p>
        </w:tc>
        <w:tc>
          <w:tcPr>
            <w:tcW w:w="2268" w:type="dxa"/>
            <w:shd w:val="clear" w:color="auto" w:fill="D9D9D9" w:themeFill="background1" w:themeFillShade="D9"/>
          </w:tcPr>
          <w:p w14:paraId="0D68C21D" w14:textId="77777777" w:rsidR="00B22866" w:rsidRDefault="00B22866" w:rsidP="00B65393">
            <w:pPr>
              <w:rPr>
                <w:rFonts w:cs="Arial"/>
                <w:szCs w:val="20"/>
              </w:rPr>
            </w:pPr>
            <w:r>
              <w:rPr>
                <w:szCs w:val="20"/>
              </w:rPr>
              <w:t>Remarque / formulaires / lien</w:t>
            </w:r>
          </w:p>
        </w:tc>
      </w:tr>
      <w:tr w:rsidR="00B22866" w14:paraId="5454EABD" w14:textId="77777777" w:rsidTr="00B65393">
        <w:tc>
          <w:tcPr>
            <w:tcW w:w="2206" w:type="dxa"/>
          </w:tcPr>
          <w:p w14:paraId="168C1B3A" w14:textId="77777777" w:rsidR="00B22866" w:rsidRPr="00316E52" w:rsidRDefault="00B22866" w:rsidP="00B65393">
            <w:pPr>
              <w:rPr>
                <w:rFonts w:cs="Arial"/>
                <w:b/>
                <w:szCs w:val="20"/>
              </w:rPr>
            </w:pPr>
            <w:r>
              <w:rPr>
                <w:b/>
                <w:szCs w:val="20"/>
              </w:rPr>
              <w:t>Les chercheurs</w:t>
            </w:r>
          </w:p>
        </w:tc>
        <w:tc>
          <w:tcPr>
            <w:tcW w:w="4877" w:type="dxa"/>
          </w:tcPr>
          <w:p w14:paraId="17FD4455" w14:textId="77777777" w:rsidR="00B22866" w:rsidRDefault="00B22866" w:rsidP="00B65393">
            <w:pPr>
              <w:rPr>
                <w:rFonts w:cs="Arial"/>
                <w:szCs w:val="20"/>
              </w:rPr>
            </w:pPr>
            <w:r>
              <w:rPr>
                <w:szCs w:val="20"/>
              </w:rPr>
              <w:t>Liste de tous les chercheurs participant au projet, y compris les informations suivantes : nom, fonction, diplôme universitaire, adresse postale, téléphone, adresse e-mail, tâche et rôle au sein du projet.</w:t>
            </w:r>
          </w:p>
          <w:p w14:paraId="6A33368F" w14:textId="77777777" w:rsidR="00B22866" w:rsidRDefault="00B22866" w:rsidP="00B65393">
            <w:pPr>
              <w:rPr>
                <w:rFonts w:cs="Arial"/>
                <w:szCs w:val="20"/>
              </w:rPr>
            </w:pPr>
          </w:p>
          <w:p w14:paraId="49C1094E" w14:textId="77777777" w:rsidR="00B22866" w:rsidRDefault="00B22866" w:rsidP="00B65393">
            <w:pPr>
              <w:rPr>
                <w:rFonts w:cs="Arial"/>
                <w:szCs w:val="20"/>
              </w:rPr>
            </w:pPr>
            <w:r>
              <w:rPr>
                <w:szCs w:val="20"/>
              </w:rPr>
              <w:t>Les noms des personnes qui seront amenées à utiliser les données doivent être énoncés clairement.</w:t>
            </w:r>
          </w:p>
          <w:p w14:paraId="0D8ECAC2" w14:textId="77777777" w:rsidR="00B22866" w:rsidRDefault="00B22866" w:rsidP="00B65393">
            <w:pPr>
              <w:rPr>
                <w:rFonts w:cs="Arial"/>
                <w:szCs w:val="20"/>
              </w:rPr>
            </w:pPr>
          </w:p>
          <w:p w14:paraId="3A052AA7" w14:textId="77777777" w:rsidR="00B22866" w:rsidRDefault="00B22866" w:rsidP="00B65393">
            <w:pPr>
              <w:rPr>
                <w:rFonts w:cs="Arial"/>
                <w:szCs w:val="20"/>
              </w:rPr>
            </w:pPr>
            <w:r>
              <w:rPr>
                <w:szCs w:val="20"/>
              </w:rPr>
              <w:t>La demande est envoyée par le requérant principal, qui doit se tenir à disposition pour toute correspondance ultérieure.</w:t>
            </w:r>
          </w:p>
          <w:p w14:paraId="734208A7" w14:textId="77777777" w:rsidR="00B22866" w:rsidRDefault="00B22866" w:rsidP="00B65393">
            <w:pPr>
              <w:rPr>
                <w:rFonts w:cs="Arial"/>
                <w:szCs w:val="20"/>
              </w:rPr>
            </w:pPr>
          </w:p>
        </w:tc>
        <w:tc>
          <w:tcPr>
            <w:tcW w:w="2268" w:type="dxa"/>
          </w:tcPr>
          <w:p w14:paraId="4752F384" w14:textId="77777777" w:rsidR="00B22866" w:rsidRDefault="00B22866" w:rsidP="00B65393">
            <w:pPr>
              <w:rPr>
                <w:rFonts w:cs="Arial"/>
                <w:szCs w:val="20"/>
              </w:rPr>
            </w:pPr>
          </w:p>
        </w:tc>
      </w:tr>
      <w:tr w:rsidR="00B22866" w14:paraId="6A495881" w14:textId="77777777" w:rsidTr="00B65393">
        <w:tc>
          <w:tcPr>
            <w:tcW w:w="2206" w:type="dxa"/>
          </w:tcPr>
          <w:p w14:paraId="58BE420E" w14:textId="77777777" w:rsidR="00B22866" w:rsidRPr="00316E52" w:rsidRDefault="00B22866" w:rsidP="00B65393">
            <w:pPr>
              <w:rPr>
                <w:rFonts w:cs="Arial"/>
                <w:b/>
                <w:szCs w:val="20"/>
              </w:rPr>
            </w:pPr>
            <w:r>
              <w:rPr>
                <w:b/>
                <w:szCs w:val="20"/>
              </w:rPr>
              <w:t>La description du projet</w:t>
            </w:r>
          </w:p>
        </w:tc>
        <w:tc>
          <w:tcPr>
            <w:tcW w:w="4877" w:type="dxa"/>
          </w:tcPr>
          <w:p w14:paraId="15F8F46C" w14:textId="77777777" w:rsidR="00B22866" w:rsidRPr="00A62777" w:rsidRDefault="00B22866" w:rsidP="00B65393">
            <w:pPr>
              <w:rPr>
                <w:rFonts w:cs="Arial"/>
                <w:szCs w:val="20"/>
              </w:rPr>
            </w:pPr>
            <w:r>
              <w:rPr>
                <w:szCs w:val="20"/>
              </w:rPr>
              <w:t>Description du projet, y compris son objectif et la conception de l’étude (2 pages au maximum). Cette présentation doit montrer clairement l’utilisation qui sera faite des données et le résultat attendu du projet.</w:t>
            </w:r>
          </w:p>
          <w:p w14:paraId="0AC584D7" w14:textId="77777777" w:rsidR="00B22866" w:rsidRPr="00A62777" w:rsidRDefault="00B22866" w:rsidP="00B65393">
            <w:pPr>
              <w:ind w:firstLine="708"/>
              <w:rPr>
                <w:rFonts w:cs="Arial"/>
                <w:szCs w:val="20"/>
              </w:rPr>
            </w:pPr>
          </w:p>
        </w:tc>
        <w:tc>
          <w:tcPr>
            <w:tcW w:w="2268" w:type="dxa"/>
          </w:tcPr>
          <w:p w14:paraId="5685E905" w14:textId="77777777" w:rsidR="00B22866" w:rsidRDefault="00B22866" w:rsidP="00B65393">
            <w:pPr>
              <w:rPr>
                <w:rFonts w:cs="Arial"/>
                <w:szCs w:val="20"/>
              </w:rPr>
            </w:pPr>
            <w:r>
              <w:rPr>
                <w:szCs w:val="20"/>
              </w:rPr>
              <w:t>Max. 2 pages</w:t>
            </w:r>
          </w:p>
        </w:tc>
      </w:tr>
      <w:tr w:rsidR="00B22866" w14:paraId="5D2E8CC2" w14:textId="77777777" w:rsidTr="00B65393">
        <w:tc>
          <w:tcPr>
            <w:tcW w:w="2206" w:type="dxa"/>
          </w:tcPr>
          <w:p w14:paraId="1AD53817" w14:textId="77777777" w:rsidR="00B22866" w:rsidRPr="00316E52" w:rsidRDefault="00B22866" w:rsidP="00B65393">
            <w:pPr>
              <w:rPr>
                <w:rFonts w:cs="Arial"/>
                <w:b/>
                <w:szCs w:val="20"/>
              </w:rPr>
            </w:pPr>
            <w:r>
              <w:rPr>
                <w:b/>
                <w:szCs w:val="20"/>
              </w:rPr>
              <w:t>Le financement du projet</w:t>
            </w:r>
          </w:p>
        </w:tc>
        <w:tc>
          <w:tcPr>
            <w:tcW w:w="4877" w:type="dxa"/>
          </w:tcPr>
          <w:p w14:paraId="00D57B10" w14:textId="77777777" w:rsidR="00B22866" w:rsidRDefault="00B22866" w:rsidP="00B65393">
            <w:pPr>
              <w:rPr>
                <w:rFonts w:cs="Arial"/>
                <w:szCs w:val="20"/>
              </w:rPr>
            </w:pPr>
            <w:r>
              <w:rPr>
                <w:szCs w:val="20"/>
              </w:rPr>
              <w:t>Informations sur les sources de financement. Il faut également préciser les aides en nature ou autres ressources.</w:t>
            </w:r>
          </w:p>
          <w:p w14:paraId="18DECAD7" w14:textId="77777777" w:rsidR="00B22866" w:rsidRPr="00A62777" w:rsidRDefault="00B22866" w:rsidP="00B65393">
            <w:pPr>
              <w:rPr>
                <w:rFonts w:cs="Arial"/>
                <w:szCs w:val="20"/>
              </w:rPr>
            </w:pPr>
          </w:p>
        </w:tc>
        <w:tc>
          <w:tcPr>
            <w:tcW w:w="2268" w:type="dxa"/>
          </w:tcPr>
          <w:p w14:paraId="36184C29" w14:textId="77777777" w:rsidR="00B22866" w:rsidRDefault="00B22866" w:rsidP="00B65393">
            <w:pPr>
              <w:rPr>
                <w:rFonts w:cs="Arial"/>
                <w:szCs w:val="20"/>
              </w:rPr>
            </w:pPr>
          </w:p>
        </w:tc>
      </w:tr>
      <w:tr w:rsidR="00B22866" w14:paraId="505CE91F" w14:textId="77777777" w:rsidTr="00B65393">
        <w:tc>
          <w:tcPr>
            <w:tcW w:w="2206" w:type="dxa"/>
          </w:tcPr>
          <w:p w14:paraId="5DDAD820" w14:textId="77777777" w:rsidR="00B22866" w:rsidRPr="00316E52" w:rsidRDefault="00B22866" w:rsidP="00B65393">
            <w:pPr>
              <w:rPr>
                <w:rFonts w:cs="Arial"/>
                <w:b/>
                <w:szCs w:val="20"/>
              </w:rPr>
            </w:pPr>
            <w:r>
              <w:rPr>
                <w:b/>
                <w:szCs w:val="20"/>
              </w:rPr>
              <w:t>Le calendrier</w:t>
            </w:r>
          </w:p>
        </w:tc>
        <w:tc>
          <w:tcPr>
            <w:tcW w:w="4877" w:type="dxa"/>
          </w:tcPr>
          <w:p w14:paraId="2FA221D0" w14:textId="77777777" w:rsidR="00B22866" w:rsidRDefault="00B22866" w:rsidP="00B65393">
            <w:pPr>
              <w:rPr>
                <w:rFonts w:cs="Arial"/>
                <w:szCs w:val="20"/>
              </w:rPr>
            </w:pPr>
            <w:r>
              <w:rPr>
                <w:szCs w:val="20"/>
              </w:rPr>
              <w:t>Projet global : démarrage, étapes et fin du projet.</w:t>
            </w:r>
          </w:p>
          <w:p w14:paraId="79F7E866" w14:textId="77777777" w:rsidR="00B22866" w:rsidRDefault="00B22866" w:rsidP="00B65393">
            <w:pPr>
              <w:rPr>
                <w:rFonts w:cs="Arial"/>
                <w:szCs w:val="20"/>
              </w:rPr>
            </w:pPr>
            <w:r>
              <w:rPr>
                <w:szCs w:val="20"/>
              </w:rPr>
              <w:t>Groupes de tâches pendant lesquels les données du système SI ABV vont être utilisées : indication précise de la date à laquelle les données doivent être disponibles et classification des étapes de traitement des données avec calendrier.</w:t>
            </w:r>
          </w:p>
          <w:p w14:paraId="369B87F7" w14:textId="77777777" w:rsidR="00B22866" w:rsidRPr="00A62777" w:rsidRDefault="00B22866" w:rsidP="00B65393">
            <w:pPr>
              <w:rPr>
                <w:rFonts w:cs="Arial"/>
                <w:szCs w:val="20"/>
              </w:rPr>
            </w:pPr>
          </w:p>
        </w:tc>
        <w:tc>
          <w:tcPr>
            <w:tcW w:w="2268" w:type="dxa"/>
          </w:tcPr>
          <w:p w14:paraId="07BBF2C3" w14:textId="77777777" w:rsidR="00B22866" w:rsidRDefault="00B22866" w:rsidP="00B65393">
            <w:pPr>
              <w:rPr>
                <w:rFonts w:cs="Arial"/>
                <w:szCs w:val="20"/>
              </w:rPr>
            </w:pPr>
          </w:p>
        </w:tc>
      </w:tr>
      <w:tr w:rsidR="00B22866" w14:paraId="29037383" w14:textId="77777777" w:rsidTr="00B65393">
        <w:tc>
          <w:tcPr>
            <w:tcW w:w="2206" w:type="dxa"/>
          </w:tcPr>
          <w:p w14:paraId="176832A4" w14:textId="77777777" w:rsidR="00B22866" w:rsidRPr="00316E52" w:rsidRDefault="00B22866" w:rsidP="00B65393">
            <w:pPr>
              <w:rPr>
                <w:rFonts w:cs="Arial"/>
                <w:b/>
                <w:szCs w:val="20"/>
              </w:rPr>
            </w:pPr>
            <w:r>
              <w:rPr>
                <w:b/>
                <w:szCs w:val="20"/>
              </w:rPr>
              <w:t>Les conflits d’intérêts</w:t>
            </w:r>
          </w:p>
        </w:tc>
        <w:tc>
          <w:tcPr>
            <w:tcW w:w="4877" w:type="dxa"/>
          </w:tcPr>
          <w:p w14:paraId="136B7208" w14:textId="77777777" w:rsidR="00B22866" w:rsidRDefault="00B22866" w:rsidP="00B65393">
            <w:pPr>
              <w:rPr>
                <w:rFonts w:cs="Arial"/>
                <w:szCs w:val="20"/>
              </w:rPr>
            </w:pPr>
            <w:r>
              <w:rPr>
                <w:szCs w:val="20"/>
              </w:rPr>
              <w:t>Indiquer s’il existe des conflits d’intérêts et, dans l’affirmative, préciser lesquels.</w:t>
            </w:r>
          </w:p>
          <w:p w14:paraId="1C025614" w14:textId="77777777" w:rsidR="00B22866" w:rsidRPr="00A62777" w:rsidRDefault="00B22866" w:rsidP="00B65393">
            <w:pPr>
              <w:rPr>
                <w:rFonts w:cs="Arial"/>
                <w:szCs w:val="20"/>
              </w:rPr>
            </w:pPr>
          </w:p>
        </w:tc>
        <w:tc>
          <w:tcPr>
            <w:tcW w:w="2268" w:type="dxa"/>
          </w:tcPr>
          <w:p w14:paraId="20AD0772" w14:textId="77777777" w:rsidR="00B22866" w:rsidRDefault="00B22866" w:rsidP="00B65393">
            <w:pPr>
              <w:rPr>
                <w:rFonts w:cs="Arial"/>
                <w:szCs w:val="20"/>
              </w:rPr>
            </w:pPr>
          </w:p>
        </w:tc>
      </w:tr>
      <w:tr w:rsidR="00B22866" w14:paraId="0896599B" w14:textId="77777777" w:rsidTr="00B65393">
        <w:tc>
          <w:tcPr>
            <w:tcW w:w="2206" w:type="dxa"/>
          </w:tcPr>
          <w:p w14:paraId="04732CEE" w14:textId="77777777" w:rsidR="00B22866" w:rsidRPr="00316E52" w:rsidRDefault="00B22866" w:rsidP="00B65393">
            <w:pPr>
              <w:rPr>
                <w:rFonts w:cs="Arial"/>
                <w:b/>
                <w:szCs w:val="20"/>
              </w:rPr>
            </w:pPr>
            <w:r>
              <w:rPr>
                <w:b/>
                <w:szCs w:val="20"/>
              </w:rPr>
              <w:t>Les jeux de données requis</w:t>
            </w:r>
          </w:p>
        </w:tc>
        <w:tc>
          <w:tcPr>
            <w:tcW w:w="4877" w:type="dxa"/>
          </w:tcPr>
          <w:p w14:paraId="518F4CC0" w14:textId="77777777" w:rsidR="00B22866" w:rsidRDefault="00B22866" w:rsidP="00B65393">
            <w:pPr>
              <w:rPr>
                <w:rFonts w:cs="Arial"/>
                <w:szCs w:val="20"/>
              </w:rPr>
            </w:pPr>
            <w:r>
              <w:rPr>
                <w:szCs w:val="20"/>
              </w:rPr>
              <w:t xml:space="preserve">Informations détaillées sur les jeux de données requis. </w:t>
            </w:r>
          </w:p>
          <w:p w14:paraId="018034A0" w14:textId="77777777" w:rsidR="00B22866" w:rsidRPr="00A62777" w:rsidRDefault="00B22866" w:rsidP="00B65393">
            <w:pPr>
              <w:rPr>
                <w:rFonts w:cs="Arial"/>
                <w:szCs w:val="20"/>
              </w:rPr>
            </w:pPr>
          </w:p>
        </w:tc>
        <w:tc>
          <w:tcPr>
            <w:tcW w:w="2268" w:type="dxa"/>
          </w:tcPr>
          <w:p w14:paraId="2E6F8D8E" w14:textId="77777777" w:rsidR="00B22866" w:rsidRDefault="000A7B47" w:rsidP="00B65393">
            <w:pPr>
              <w:rPr>
                <w:rFonts w:cs="Arial"/>
                <w:szCs w:val="20"/>
              </w:rPr>
            </w:pPr>
            <w:r w:rsidRPr="000A7B47">
              <w:rPr>
                <w:rFonts w:cs="Arial"/>
                <w:szCs w:val="20"/>
              </w:rPr>
              <w:t>Check-lists «</w:t>
            </w:r>
            <w:r>
              <w:rPr>
                <w:rFonts w:cs="Arial"/>
                <w:i/>
                <w:iCs/>
                <w:szCs w:val="20"/>
              </w:rPr>
              <w:t>Accès aux données du SI ABV</w:t>
            </w:r>
            <w:r w:rsidRPr="000A7B47">
              <w:rPr>
                <w:rFonts w:cs="Arial"/>
                <w:szCs w:val="20"/>
              </w:rPr>
              <w:t xml:space="preserve">»  </w:t>
            </w:r>
          </w:p>
        </w:tc>
      </w:tr>
      <w:tr w:rsidR="00B22866" w:rsidRPr="003D3070" w14:paraId="4EEED2DD" w14:textId="77777777" w:rsidTr="00B65393">
        <w:tc>
          <w:tcPr>
            <w:tcW w:w="2206" w:type="dxa"/>
          </w:tcPr>
          <w:p w14:paraId="0AF84632" w14:textId="77777777" w:rsidR="00B22866" w:rsidRPr="00316E52" w:rsidRDefault="00B22866" w:rsidP="00B65393">
            <w:pPr>
              <w:rPr>
                <w:rFonts w:cs="Arial"/>
                <w:b/>
                <w:szCs w:val="20"/>
              </w:rPr>
            </w:pPr>
            <w:r>
              <w:rPr>
                <w:b/>
                <w:szCs w:val="20"/>
              </w:rPr>
              <w:t>L’autorisation de remise de données propres (si pertinent seulement)</w:t>
            </w:r>
          </w:p>
        </w:tc>
        <w:tc>
          <w:tcPr>
            <w:tcW w:w="4877" w:type="dxa"/>
          </w:tcPr>
          <w:p w14:paraId="4C59917F" w14:textId="77777777" w:rsidR="00B22866" w:rsidRDefault="00B22866" w:rsidP="00B65393">
            <w:pPr>
              <w:rPr>
                <w:szCs w:val="20"/>
              </w:rPr>
            </w:pPr>
            <w:r>
              <w:rPr>
                <w:szCs w:val="20"/>
              </w:rPr>
              <w:t>Voir lettre b ci-dessus.</w:t>
            </w:r>
          </w:p>
          <w:p w14:paraId="5AE97A70" w14:textId="77777777" w:rsidR="00687CC0" w:rsidRPr="00687CC0" w:rsidRDefault="00687CC0" w:rsidP="00687CC0">
            <w:pPr>
              <w:rPr>
                <w:rFonts w:cs="Arial"/>
                <w:szCs w:val="20"/>
              </w:rPr>
            </w:pPr>
            <w:r w:rsidRPr="00687CC0">
              <w:rPr>
                <w:rFonts w:cs="Arial"/>
                <w:szCs w:val="20"/>
              </w:rPr>
              <w:t>Identificateur pour les élevages Numéro BDTA.</w:t>
            </w:r>
          </w:p>
          <w:p w14:paraId="71A9B4CE" w14:textId="4A0B0862" w:rsidR="00687CC0" w:rsidRPr="00316E52" w:rsidRDefault="00687CC0" w:rsidP="00687CC0">
            <w:pPr>
              <w:rPr>
                <w:rFonts w:cs="Arial"/>
                <w:szCs w:val="20"/>
              </w:rPr>
            </w:pPr>
            <w:r w:rsidRPr="00687CC0">
              <w:rPr>
                <w:rFonts w:cs="Arial"/>
                <w:szCs w:val="20"/>
              </w:rPr>
              <w:t>Identifiant pour les cabinets vétérinaires IDE et numéro REE.</w:t>
            </w:r>
          </w:p>
        </w:tc>
        <w:tc>
          <w:tcPr>
            <w:tcW w:w="2268" w:type="dxa"/>
          </w:tcPr>
          <w:p w14:paraId="168A33B8" w14:textId="77777777" w:rsidR="00B22866" w:rsidRPr="003D3070" w:rsidRDefault="003D3070" w:rsidP="00B65393">
            <w:pPr>
              <w:rPr>
                <w:rFonts w:cs="Arial"/>
                <w:szCs w:val="20"/>
                <w:highlight w:val="yellow"/>
              </w:rPr>
            </w:pPr>
            <w:r w:rsidRPr="003D3070">
              <w:rPr>
                <w:szCs w:val="20"/>
              </w:rPr>
              <w:t>Formulaire</w:t>
            </w:r>
            <w:proofErr w:type="gramStart"/>
            <w:r w:rsidRPr="003D3070">
              <w:rPr>
                <w:szCs w:val="20"/>
              </w:rPr>
              <w:t xml:space="preserve"> «</w:t>
            </w:r>
            <w:r w:rsidRPr="003D3070">
              <w:rPr>
                <w:i/>
                <w:szCs w:val="20"/>
              </w:rPr>
              <w:t>Déclaration</w:t>
            </w:r>
            <w:proofErr w:type="gramEnd"/>
            <w:r w:rsidRPr="003D3070">
              <w:rPr>
                <w:i/>
                <w:szCs w:val="20"/>
              </w:rPr>
              <w:t xml:space="preserve"> de consentement à l’utilisation des données à des fins de recherche</w:t>
            </w:r>
            <w:r w:rsidR="004B3CA4" w:rsidRPr="003D3070">
              <w:rPr>
                <w:szCs w:val="20"/>
              </w:rPr>
              <w:t>»</w:t>
            </w:r>
          </w:p>
        </w:tc>
      </w:tr>
    </w:tbl>
    <w:p w14:paraId="3B1C4AE4" w14:textId="77777777" w:rsidR="00B22866" w:rsidRPr="003D3070" w:rsidRDefault="00B22866" w:rsidP="00B22866">
      <w:pPr>
        <w:rPr>
          <w:rFonts w:cs="Arial"/>
          <w:szCs w:val="20"/>
        </w:rPr>
      </w:pPr>
    </w:p>
    <w:p w14:paraId="4771E82A" w14:textId="77777777" w:rsidR="00B22866" w:rsidRPr="003D3070" w:rsidRDefault="00B22866" w:rsidP="00B22866">
      <w:pPr>
        <w:rPr>
          <w:rFonts w:cs="Arial"/>
          <w:b/>
          <w:szCs w:val="20"/>
        </w:rPr>
      </w:pPr>
    </w:p>
    <w:p w14:paraId="77E47D34" w14:textId="77777777" w:rsidR="00B22866" w:rsidRDefault="00B22866" w:rsidP="00B22866">
      <w:pPr>
        <w:rPr>
          <w:rFonts w:cs="Arial"/>
          <w:szCs w:val="20"/>
        </w:rPr>
      </w:pPr>
      <w:r w:rsidRPr="00B06B86">
        <w:rPr>
          <w:rFonts w:cs="Arial"/>
          <w:szCs w:val="20"/>
        </w:rPr>
        <w:t xml:space="preserve">La demande doit être envoyée par voie électronique à l’adresse suivante : </w:t>
      </w:r>
      <w:hyperlink r:id="rId11" w:history="1">
        <w:r w:rsidRPr="00B06B86">
          <w:rPr>
            <w:rStyle w:val="Hyperlink"/>
            <w:rFonts w:cs="Arial"/>
            <w:szCs w:val="20"/>
          </w:rPr>
          <w:t>tam@blv.admin.ch</w:t>
        </w:r>
      </w:hyperlink>
      <w:r w:rsidRPr="00B06B86">
        <w:rPr>
          <w:rFonts w:cs="Arial"/>
          <w:szCs w:val="20"/>
        </w:rPr>
        <w:t xml:space="preserve"> avec pour objet « Demande de données SI</w:t>
      </w:r>
      <w:r>
        <w:rPr>
          <w:rFonts w:cs="Arial"/>
          <w:szCs w:val="20"/>
        </w:rPr>
        <w:t> </w:t>
      </w:r>
      <w:r w:rsidRPr="00B06B86">
        <w:rPr>
          <w:rFonts w:cs="Arial"/>
          <w:szCs w:val="20"/>
        </w:rPr>
        <w:t>ABV ».</w:t>
      </w:r>
    </w:p>
    <w:p w14:paraId="13A42DF4" w14:textId="77777777" w:rsidR="003D3070" w:rsidRDefault="003D3070" w:rsidP="00B22866">
      <w:pPr>
        <w:rPr>
          <w:rFonts w:cs="Arial"/>
          <w:szCs w:val="20"/>
        </w:rPr>
      </w:pPr>
    </w:p>
    <w:p w14:paraId="1C839913" w14:textId="77777777" w:rsidR="003D3070" w:rsidRDefault="003D3070" w:rsidP="00B22866">
      <w:pPr>
        <w:rPr>
          <w:rFonts w:cs="Arial"/>
          <w:szCs w:val="20"/>
        </w:rPr>
      </w:pPr>
    </w:p>
    <w:p w14:paraId="7F94208D" w14:textId="6B3B8C93" w:rsidR="003D3070" w:rsidRPr="00387378" w:rsidRDefault="003D3070" w:rsidP="00B22866">
      <w:pPr>
        <w:rPr>
          <w:rFonts w:cs="Arial"/>
          <w:szCs w:val="20"/>
        </w:rPr>
      </w:pPr>
      <w:r>
        <w:rPr>
          <w:rFonts w:cs="Arial"/>
          <w:szCs w:val="20"/>
        </w:rPr>
        <w:t>(Etat 1</w:t>
      </w:r>
      <w:r w:rsidR="00687CC0">
        <w:rPr>
          <w:rFonts w:cs="Arial"/>
          <w:szCs w:val="20"/>
        </w:rPr>
        <w:t>5</w:t>
      </w:r>
      <w:r>
        <w:rPr>
          <w:rFonts w:cs="Arial"/>
          <w:szCs w:val="20"/>
        </w:rPr>
        <w:t>.</w:t>
      </w:r>
      <w:r w:rsidR="00687CC0">
        <w:rPr>
          <w:rFonts w:cs="Arial"/>
          <w:szCs w:val="20"/>
        </w:rPr>
        <w:t>12</w:t>
      </w:r>
      <w:r>
        <w:rPr>
          <w:rFonts w:cs="Arial"/>
          <w:szCs w:val="20"/>
        </w:rPr>
        <w:t>.202</w:t>
      </w:r>
      <w:r w:rsidR="00687CC0">
        <w:rPr>
          <w:rFonts w:cs="Arial"/>
          <w:szCs w:val="20"/>
        </w:rPr>
        <w:t>2</w:t>
      </w:r>
      <w:r>
        <w:rPr>
          <w:rFonts w:cs="Arial"/>
          <w:szCs w:val="20"/>
        </w:rPr>
        <w:t>)</w:t>
      </w:r>
    </w:p>
    <w:p w14:paraId="70B1B954" w14:textId="77777777" w:rsidR="00E605CF" w:rsidRDefault="00E605CF">
      <w:pPr>
        <w:spacing w:line="480" w:lineRule="auto"/>
      </w:pPr>
    </w:p>
    <w:sectPr w:rsidR="00E605CF">
      <w:footerReference w:type="default" r:id="rId12"/>
      <w:headerReference w:type="first" r:id="rId13"/>
      <w:footerReference w:type="first" r:id="rId14"/>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0031" w14:textId="77777777" w:rsidR="00D618F6" w:rsidRDefault="00D618F6">
      <w:pPr>
        <w:spacing w:line="240" w:lineRule="auto"/>
      </w:pPr>
      <w:r>
        <w:separator/>
      </w:r>
    </w:p>
  </w:endnote>
  <w:endnote w:type="continuationSeparator" w:id="0">
    <w:p w14:paraId="31AFB908" w14:textId="77777777" w:rsidR="00D618F6" w:rsidRDefault="00D61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A8B4" w14:textId="77777777" w:rsidR="00E605CF" w:rsidRDefault="007C33CD">
    <w:pPr>
      <w:tabs>
        <w:tab w:val="left" w:pos="9449"/>
      </w:tabs>
      <w:spacing w:line="240" w:lineRule="exact"/>
      <w:ind w:right="-850"/>
      <w:rPr>
        <w:sz w:val="14"/>
        <w:szCs w:val="14"/>
      </w:rPr>
    </w:pPr>
    <w:r>
      <w:tab/>
    </w:r>
    <w:r>
      <w:rPr>
        <w:bCs/>
        <w:sz w:val="14"/>
        <w:szCs w:val="14"/>
      </w:rPr>
      <w:fldChar w:fldCharType="begin"/>
    </w:r>
    <w:r>
      <w:rPr>
        <w:bCs/>
        <w:sz w:val="14"/>
        <w:szCs w:val="14"/>
      </w:rPr>
      <w:instrText>PAGE  \* Arabic  \* MERGEFORMAT</w:instrText>
    </w:r>
    <w:r>
      <w:rPr>
        <w:bCs/>
        <w:sz w:val="14"/>
        <w:szCs w:val="14"/>
      </w:rPr>
      <w:fldChar w:fldCharType="separate"/>
    </w:r>
    <w:r w:rsidR="000A7B47">
      <w:rPr>
        <w:bCs/>
        <w:noProof/>
        <w:sz w:val="14"/>
        <w:szCs w:val="14"/>
      </w:rPr>
      <w:t>2</w:t>
    </w:r>
    <w:r>
      <w:rPr>
        <w:bCs/>
        <w:sz w:val="14"/>
        <w:szCs w:val="14"/>
      </w:rPr>
      <w:fldChar w:fldCharType="end"/>
    </w:r>
    <w:r>
      <w:rPr>
        <w:sz w:val="14"/>
      </w:rPr>
      <w:t>/</w:t>
    </w:r>
    <w:r>
      <w:rPr>
        <w:bCs/>
        <w:sz w:val="14"/>
        <w:szCs w:val="14"/>
      </w:rPr>
      <w:fldChar w:fldCharType="begin"/>
    </w:r>
    <w:r>
      <w:rPr>
        <w:bCs/>
        <w:sz w:val="14"/>
        <w:szCs w:val="14"/>
      </w:rPr>
      <w:instrText>NUMPAGES  \* Arabic  \* MERGEFORMAT</w:instrText>
    </w:r>
    <w:r>
      <w:rPr>
        <w:bCs/>
        <w:sz w:val="14"/>
        <w:szCs w:val="14"/>
      </w:rPr>
      <w:fldChar w:fldCharType="separate"/>
    </w:r>
    <w:r w:rsidR="000A7B47">
      <w:rPr>
        <w:bCs/>
        <w:noProof/>
        <w:sz w:val="14"/>
        <w:szCs w:val="14"/>
      </w:rPr>
      <w:t>3</w:t>
    </w:r>
    <w:r>
      <w:rPr>
        <w:bCs/>
        <w:sz w:val="14"/>
        <w:szCs w:val="14"/>
      </w:rPr>
      <w:fldChar w:fldCharType="end"/>
    </w:r>
  </w:p>
  <w:p w14:paraId="54F7ED23" w14:textId="77777777" w:rsidR="00E605CF" w:rsidRDefault="00E605CF">
    <w:pPr>
      <w:tabs>
        <w:tab w:val="left" w:pos="3969"/>
      </w:tabs>
      <w:spacing w:line="200" w:lineRule="atLeast"/>
      <w:rPr>
        <w:sz w:val="15"/>
        <w:szCs w:val="15"/>
      </w:rPr>
    </w:pPr>
  </w:p>
  <w:p w14:paraId="46513959" w14:textId="77777777" w:rsidR="00E605CF" w:rsidRDefault="007C33CD">
    <w:pPr>
      <w:tabs>
        <w:tab w:val="left" w:pos="9498"/>
      </w:tabs>
      <w:spacing w:line="160" w:lineRule="atLeast"/>
    </w:pPr>
    <w:r>
      <w:rPr>
        <w:bCs/>
        <w:sz w:val="12"/>
        <w:szCs w:val="12"/>
      </w:rPr>
      <w:fldChar w:fldCharType="begin"/>
    </w:r>
    <w:r>
      <w:rPr>
        <w:sz w:val="12"/>
        <w:szCs w:val="12"/>
      </w:rPr>
      <w:instrText xml:space="preserve"> DOCPROPERTY  FSC#EVDCFG@15.1400:Dossierref  \* MERGEFORMAT </w:instrText>
    </w:r>
    <w:r>
      <w:rPr>
        <w:bCs/>
        <w:sz w:val="12"/>
        <w:szCs w:val="12"/>
      </w:rPr>
      <w:fldChar w:fldCharType="separate"/>
    </w:r>
    <w:r>
      <w:rPr>
        <w:sz w:val="12"/>
        <w:szCs w:val="12"/>
      </w:rPr>
      <w:t>461/2013/16470</w:t>
    </w:r>
    <w:r>
      <w:rPr>
        <w:bCs/>
        <w:sz w:val="12"/>
        <w:szCs w:val="12"/>
      </w:rPr>
      <w:fldChar w:fldCharType="end"/>
    </w:r>
    <w:r>
      <w:rPr>
        <w:sz w:val="12"/>
      </w:rPr>
      <w:t xml:space="preserve"> \ </w:t>
    </w:r>
    <w:r>
      <w:rPr>
        <w:bCs/>
        <w:sz w:val="12"/>
        <w:szCs w:val="12"/>
      </w:rPr>
      <w:fldChar w:fldCharType="begin"/>
    </w:r>
    <w:r>
      <w:rPr>
        <w:sz w:val="12"/>
        <w:szCs w:val="12"/>
      </w:rPr>
      <w:instrText xml:space="preserve"> DOCPROPERTY  FSC#COOSYSTEM@1.1:Container \* MERGEFORMAT </w:instrText>
    </w:r>
    <w:r>
      <w:rPr>
        <w:bCs/>
        <w:sz w:val="12"/>
        <w:szCs w:val="12"/>
      </w:rPr>
      <w:fldChar w:fldCharType="separate"/>
    </w:r>
    <w:r>
      <w:rPr>
        <w:sz w:val="12"/>
        <w:szCs w:val="12"/>
      </w:rPr>
      <w:t>COO.2101.102.7.374711</w:t>
    </w:r>
    <w:r>
      <w:rPr>
        <w:bCs/>
        <w:sz w:val="12"/>
        <w:szCs w:val="12"/>
      </w:rPr>
      <w:fldChar w:fldCharType="end"/>
    </w:r>
    <w:r>
      <w:rPr>
        <w:sz w:val="12"/>
      </w:rPr>
      <w:t xml:space="preserve"> \ 000.00.02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B9F3" w14:textId="77777777" w:rsidR="00E605CF" w:rsidRDefault="00E605CF">
    <w:pPr>
      <w:spacing w:line="200" w:lineRule="atLeast"/>
      <w:rPr>
        <w:sz w:val="15"/>
        <w:szCs w:val="15"/>
      </w:rPr>
    </w:pPr>
  </w:p>
  <w:p w14:paraId="7E5269E7" w14:textId="77777777" w:rsidR="00E605CF" w:rsidRDefault="00E605CF">
    <w:pPr>
      <w:tabs>
        <w:tab w:val="left" w:pos="3969"/>
      </w:tabs>
      <w:spacing w:line="200" w:lineRule="atLeast"/>
      <w:rPr>
        <w:sz w:val="15"/>
        <w:szCs w:val="15"/>
      </w:rPr>
    </w:pPr>
  </w:p>
  <w:p w14:paraId="3AB5BFD3" w14:textId="77777777" w:rsidR="00E605CF" w:rsidRDefault="007C33CD">
    <w:pPr>
      <w:tabs>
        <w:tab w:val="left" w:pos="3969"/>
      </w:tabs>
      <w:spacing w:line="160" w:lineRule="atLeast"/>
      <w:rPr>
        <w:sz w:val="12"/>
        <w:szCs w:val="12"/>
      </w:rPr>
    </w:pPr>
    <w:r>
      <w:rPr>
        <w:bCs/>
        <w:sz w:val="12"/>
        <w:szCs w:val="12"/>
      </w:rPr>
      <w:fldChar w:fldCharType="begin"/>
    </w:r>
    <w:r>
      <w:rPr>
        <w:sz w:val="12"/>
        <w:szCs w:val="12"/>
      </w:rPr>
      <w:instrText xml:space="preserve"> DOCPROPERTY  FSC#EVDCFG@15.1400:Dossierref  \* MERGEFORMAT </w:instrText>
    </w:r>
    <w:r>
      <w:rPr>
        <w:bCs/>
        <w:sz w:val="12"/>
        <w:szCs w:val="12"/>
      </w:rPr>
      <w:fldChar w:fldCharType="separate"/>
    </w:r>
    <w:r>
      <w:rPr>
        <w:sz w:val="12"/>
        <w:szCs w:val="12"/>
      </w:rPr>
      <w:t>461/2013/16470</w:t>
    </w:r>
    <w:r>
      <w:rPr>
        <w:bCs/>
        <w:sz w:val="12"/>
        <w:szCs w:val="12"/>
      </w:rPr>
      <w:fldChar w:fldCharType="end"/>
    </w:r>
    <w:r>
      <w:rPr>
        <w:sz w:val="12"/>
      </w:rPr>
      <w:t xml:space="preserve"> \ </w:t>
    </w:r>
    <w:r>
      <w:rPr>
        <w:bCs/>
        <w:sz w:val="12"/>
        <w:szCs w:val="12"/>
      </w:rPr>
      <w:fldChar w:fldCharType="begin"/>
    </w:r>
    <w:r>
      <w:rPr>
        <w:sz w:val="12"/>
        <w:szCs w:val="12"/>
      </w:rPr>
      <w:instrText xml:space="preserve"> DOCPROPERTY  FSC#COOSYSTEM@1.1:Container \* MERGEFORMAT </w:instrText>
    </w:r>
    <w:r>
      <w:rPr>
        <w:bCs/>
        <w:sz w:val="12"/>
        <w:szCs w:val="12"/>
      </w:rPr>
      <w:fldChar w:fldCharType="separate"/>
    </w:r>
    <w:r>
      <w:rPr>
        <w:sz w:val="12"/>
        <w:szCs w:val="12"/>
      </w:rPr>
      <w:t>COO.2101.102.7.374711</w:t>
    </w:r>
    <w:r>
      <w:rPr>
        <w:bCs/>
        <w:sz w:val="12"/>
        <w:szCs w:val="12"/>
      </w:rPr>
      <w:fldChar w:fldCharType="end"/>
    </w:r>
    <w:r>
      <w:rPr>
        <w:sz w:val="12"/>
      </w:rPr>
      <w:t xml:space="preserve"> \ 000.00.02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2C7E" w14:textId="77777777" w:rsidR="00D618F6" w:rsidRDefault="00D618F6">
      <w:pPr>
        <w:spacing w:line="240" w:lineRule="auto"/>
      </w:pPr>
      <w:r>
        <w:separator/>
      </w:r>
    </w:p>
  </w:footnote>
  <w:footnote w:type="continuationSeparator" w:id="0">
    <w:p w14:paraId="7F61A400" w14:textId="77777777" w:rsidR="00D618F6" w:rsidRDefault="00D618F6">
      <w:pPr>
        <w:spacing w:line="240" w:lineRule="auto"/>
      </w:pPr>
      <w:r>
        <w:continuationSeparator/>
      </w:r>
    </w:p>
  </w:footnote>
  <w:footnote w:id="1">
    <w:p w14:paraId="460BB430" w14:textId="77777777" w:rsidR="00B22866" w:rsidRPr="00B82BA1" w:rsidRDefault="00B22866" w:rsidP="00B22866">
      <w:pPr>
        <w:pStyle w:val="Funotentext"/>
        <w:rPr>
          <w:rFonts w:cs="Arial"/>
          <w:sz w:val="16"/>
          <w:szCs w:val="16"/>
        </w:rPr>
      </w:pPr>
      <w:r>
        <w:rPr>
          <w:rStyle w:val="Funotenzeichen"/>
          <w:rFonts w:cs="Arial"/>
          <w:sz w:val="16"/>
          <w:szCs w:val="16"/>
        </w:rPr>
        <w:footnoteRef/>
      </w:r>
      <w:r>
        <w:rPr>
          <w:sz w:val="16"/>
          <w:szCs w:val="16"/>
        </w:rPr>
        <w:t xml:space="preserve"> Art. 10, al. 2 de l’ordonnance concernant le système d’information sur les antibiotiques en médecine vétérinaire (</w:t>
      </w:r>
      <w:hyperlink r:id="rId1" w:history="1">
        <w:r>
          <w:rPr>
            <w:rStyle w:val="Hyperlink"/>
            <w:sz w:val="16"/>
            <w:szCs w:val="16"/>
          </w:rPr>
          <w:t>O-SI ABV</w:t>
        </w:r>
      </w:hyperlink>
      <w:r>
        <w:rPr>
          <w:rStyle w:val="Hyperlink"/>
          <w:sz w:val="16"/>
          <w:szCs w:val="16"/>
        </w:rPr>
        <w:t xml:space="preserve"> ; </w:t>
      </w:r>
      <w:r>
        <w:rPr>
          <w:sz w:val="16"/>
          <w:szCs w:val="16"/>
        </w:rPr>
        <w:t>RS 812.214.4)</w:t>
      </w:r>
    </w:p>
  </w:footnote>
  <w:footnote w:id="2">
    <w:p w14:paraId="4A0C8275" w14:textId="77777777" w:rsidR="00B22866" w:rsidRPr="00387378" w:rsidRDefault="00B22866" w:rsidP="00B22866">
      <w:pPr>
        <w:pStyle w:val="Funotentext"/>
        <w:rPr>
          <w:rFonts w:cs="Arial"/>
          <w:sz w:val="16"/>
          <w:szCs w:val="16"/>
          <w:lang w:val="it-CH"/>
        </w:rPr>
      </w:pPr>
      <w:r>
        <w:rPr>
          <w:rStyle w:val="Funotenzeichen"/>
          <w:rFonts w:cs="Arial"/>
          <w:sz w:val="16"/>
          <w:szCs w:val="16"/>
        </w:rPr>
        <w:footnoteRef/>
      </w:r>
      <w:r w:rsidRPr="00387378">
        <w:rPr>
          <w:sz w:val="16"/>
          <w:szCs w:val="16"/>
          <w:lang w:val="it-CH"/>
        </w:rPr>
        <w:t xml:space="preserve"> Art. 11 O-SI</w:t>
      </w:r>
      <w:r>
        <w:rPr>
          <w:sz w:val="16"/>
          <w:szCs w:val="16"/>
          <w:lang w:val="it-CH"/>
        </w:rPr>
        <w:t> </w:t>
      </w:r>
      <w:r w:rsidRPr="00387378">
        <w:rPr>
          <w:sz w:val="16"/>
          <w:szCs w:val="16"/>
          <w:lang w:val="it-CH"/>
        </w:rPr>
        <w:t>ABV</w:t>
      </w:r>
    </w:p>
  </w:footnote>
  <w:footnote w:id="3">
    <w:p w14:paraId="5CF5A75B" w14:textId="77777777" w:rsidR="00B22866" w:rsidRPr="00387378" w:rsidRDefault="00B22866" w:rsidP="00B22866">
      <w:pPr>
        <w:pStyle w:val="Funotentext"/>
        <w:rPr>
          <w:lang w:val="it-CH"/>
        </w:rPr>
      </w:pPr>
      <w:r>
        <w:rPr>
          <w:rStyle w:val="Funotenzeichen"/>
          <w:rFonts w:cs="Arial"/>
          <w:sz w:val="16"/>
          <w:szCs w:val="16"/>
        </w:rPr>
        <w:footnoteRef/>
      </w:r>
      <w:r w:rsidRPr="00387378">
        <w:rPr>
          <w:sz w:val="16"/>
          <w:szCs w:val="16"/>
          <w:lang w:val="it-CH"/>
        </w:rPr>
        <w:t xml:space="preserve"> </w:t>
      </w:r>
      <w:hyperlink r:id="rId2" w:history="1">
        <w:r w:rsidRPr="00387378">
          <w:rPr>
            <w:rStyle w:val="Hyperlink"/>
            <w:sz w:val="16"/>
            <w:szCs w:val="16"/>
            <w:lang w:val="it-CH"/>
          </w:rPr>
          <w:t>http://www.snf.ch/fr/leFNS/points-de-vue-politique-de-recherche/integrite-scientifique/Pages/default.aspx</w:t>
        </w:r>
      </w:hyperlink>
      <w:r w:rsidRPr="00387378">
        <w:rPr>
          <w:lang w:val="it-CH"/>
        </w:rPr>
        <w:t xml:space="preserve"> </w:t>
      </w:r>
    </w:p>
  </w:footnote>
  <w:footnote w:id="4">
    <w:p w14:paraId="57223AA1" w14:textId="77777777" w:rsidR="00B22866" w:rsidRDefault="00B22866" w:rsidP="00B22866">
      <w:pPr>
        <w:pStyle w:val="Funotentext"/>
      </w:pPr>
      <w:r>
        <w:rPr>
          <w:rStyle w:val="Funotenzeichen"/>
        </w:rPr>
        <w:footnoteRef/>
      </w:r>
      <w:r>
        <w:t xml:space="preserve"> </w:t>
      </w:r>
      <w:r w:rsidRPr="00682AD3">
        <w:rPr>
          <w:rFonts w:cs="Arial"/>
          <w:sz w:val="16"/>
          <w:szCs w:val="16"/>
        </w:rPr>
        <w:t>Conformément à l’art. 11 O-SI</w:t>
      </w:r>
      <w:r>
        <w:rPr>
          <w:rFonts w:cs="Arial"/>
          <w:sz w:val="16"/>
          <w:szCs w:val="16"/>
        </w:rPr>
        <w:t> </w:t>
      </w:r>
      <w:r w:rsidRPr="00682AD3">
        <w:rPr>
          <w:rFonts w:cs="Arial"/>
          <w:sz w:val="16"/>
          <w:szCs w:val="16"/>
        </w:rPr>
        <w:t>ABV</w:t>
      </w:r>
    </w:p>
  </w:footnote>
  <w:footnote w:id="5">
    <w:p w14:paraId="573013E5" w14:textId="77777777" w:rsidR="00B22866" w:rsidRPr="00A83AFB" w:rsidRDefault="00B22866" w:rsidP="00B22866">
      <w:pPr>
        <w:pStyle w:val="Funotentext"/>
        <w:rPr>
          <w:rFonts w:cs="Arial"/>
          <w:sz w:val="16"/>
          <w:szCs w:val="16"/>
        </w:rPr>
      </w:pPr>
      <w:r>
        <w:rPr>
          <w:rStyle w:val="Funotenzeichen"/>
        </w:rPr>
        <w:footnoteRef/>
      </w:r>
      <w:r>
        <w:t xml:space="preserve"> </w:t>
      </w:r>
      <w:r>
        <w:rPr>
          <w:sz w:val="16"/>
          <w:szCs w:val="16"/>
        </w:rPr>
        <w:t>Art. 12 O-SI ABV et règlement de traitement des données</w:t>
      </w:r>
    </w:p>
  </w:footnote>
  <w:footnote w:id="6">
    <w:p w14:paraId="6A781720" w14:textId="77777777" w:rsidR="00B22866" w:rsidRPr="00A83AFB" w:rsidRDefault="00B22866" w:rsidP="00B22866">
      <w:pPr>
        <w:pStyle w:val="Funotentext"/>
        <w:rPr>
          <w:rFonts w:cs="Arial"/>
          <w:sz w:val="16"/>
          <w:szCs w:val="16"/>
        </w:rPr>
      </w:pPr>
      <w:r>
        <w:rPr>
          <w:rStyle w:val="Funotenzeichen"/>
          <w:rFonts w:cs="Arial"/>
          <w:sz w:val="16"/>
          <w:szCs w:val="16"/>
        </w:rPr>
        <w:footnoteRef/>
      </w:r>
      <w:r>
        <w:rPr>
          <w:sz w:val="16"/>
          <w:szCs w:val="16"/>
        </w:rPr>
        <w:t xml:space="preserve"> </w:t>
      </w:r>
      <w:proofErr w:type="spellStart"/>
      <w:r>
        <w:rPr>
          <w:sz w:val="16"/>
          <w:szCs w:val="16"/>
        </w:rPr>
        <w:t>OGEmol</w:t>
      </w:r>
      <w:proofErr w:type="spellEnd"/>
      <w:r>
        <w:rPr>
          <w:sz w:val="16"/>
          <w:szCs w:val="16"/>
        </w:rPr>
        <w:t> ; RS 172.041.1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5000" w14:textId="77777777" w:rsidR="00E605CF" w:rsidRDefault="007C33CD">
    <w:pPr>
      <w:pStyle w:val="zzKopfDept"/>
      <w:tabs>
        <w:tab w:val="left" w:pos="4253"/>
      </w:tabs>
      <w:spacing w:after="70"/>
    </w:pPr>
    <w:r>
      <w:tab/>
      <w:t>Département fédéral de l’intérieur (DFI)</w:t>
    </w:r>
  </w:p>
  <w:p w14:paraId="7B84B875" w14:textId="77777777" w:rsidR="00E605CF" w:rsidRDefault="007C33CD">
    <w:pPr>
      <w:pStyle w:val="zzKopfFett"/>
      <w:tabs>
        <w:tab w:val="left" w:pos="4253"/>
      </w:tabs>
    </w:pPr>
    <w:r>
      <w:tab/>
      <w:t>Office fédéral de la sécurité alimentaire et</w:t>
    </w:r>
  </w:p>
  <w:p w14:paraId="2DA56401" w14:textId="77777777" w:rsidR="00E605CF" w:rsidRDefault="007C33CD">
    <w:pPr>
      <w:pStyle w:val="zzKopfFett"/>
      <w:tabs>
        <w:tab w:val="left" w:pos="4253"/>
      </w:tabs>
    </w:pPr>
    <w:r>
      <w:tab/>
      <w:t>des affaires vétérinaires (OSAV)</w:t>
    </w:r>
  </w:p>
  <w:p w14:paraId="3CFA4BD0" w14:textId="77777777" w:rsidR="00E605CF" w:rsidRDefault="007C33CD">
    <w:pPr>
      <w:tabs>
        <w:tab w:val="left" w:pos="4253"/>
      </w:tabs>
      <w:spacing w:after="1200" w:line="200" w:lineRule="atLeast"/>
      <w:rPr>
        <w:sz w:val="15"/>
        <w:szCs w:val="15"/>
      </w:rPr>
    </w:pPr>
    <w:r>
      <w:tab/>
    </w:r>
    <w:r>
      <w:rPr>
        <w:rFonts w:eastAsia="Times New Roman"/>
        <w:noProof/>
        <w:sz w:val="15"/>
        <w:szCs w:val="15"/>
        <w:lang w:val="de-CH" w:eastAsia="de-CH" w:bidi="ar-SA"/>
      </w:rPr>
      <w:drawing>
        <wp:anchor distT="0" distB="0" distL="114300" distR="114300" simplePos="0" relativeHeight="251664384" behindDoc="0" locked="1" layoutInCell="1" allowOverlap="1" wp14:anchorId="1FDFE42D" wp14:editId="6B415FF9">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sidR="00B22866">
      <w:rPr>
        <w:sz w:val="15"/>
      </w:rPr>
      <w:t>Santé animale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D0210B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1A91"/>
    <w:multiLevelType w:val="hybridMultilevel"/>
    <w:tmpl w:val="EF6804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DC71F0B"/>
    <w:multiLevelType w:val="hybridMultilevel"/>
    <w:tmpl w:val="C55C0B3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8"/>
  </w:num>
  <w:num w:numId="15">
    <w:abstractNumId w:val="12"/>
  </w:num>
  <w:num w:numId="16">
    <w:abstractNumId w:val="11"/>
  </w:num>
  <w:num w:numId="17">
    <w:abstractNumId w:val="20"/>
  </w:num>
  <w:num w:numId="18">
    <w:abstractNumId w:val="24"/>
  </w:num>
  <w:num w:numId="19">
    <w:abstractNumId w:val="14"/>
  </w:num>
  <w:num w:numId="20">
    <w:abstractNumId w:val="16"/>
  </w:num>
  <w:num w:numId="21">
    <w:abstractNumId w:val="18"/>
  </w:num>
  <w:num w:numId="22">
    <w:abstractNumId w:val="16"/>
  </w:num>
  <w:num w:numId="23">
    <w:abstractNumId w:val="20"/>
  </w:num>
  <w:num w:numId="24">
    <w:abstractNumId w:val="14"/>
  </w:num>
  <w:num w:numId="25">
    <w:abstractNumId w:val="11"/>
  </w:num>
  <w:num w:numId="26">
    <w:abstractNumId w:val="24"/>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21"/>
  </w:num>
  <w:num w:numId="38">
    <w:abstractNumId w:val="10"/>
  </w:num>
  <w:num w:numId="39">
    <w:abstractNumId w:val="13"/>
  </w:num>
  <w:num w:numId="40">
    <w:abstractNumId w:val="13"/>
  </w:num>
  <w:num w:numId="41">
    <w:abstractNumId w:val="13"/>
  </w:num>
  <w:num w:numId="42">
    <w:abstractNumId w:val="22"/>
  </w:num>
  <w:num w:numId="43">
    <w:abstractNumId w:val="19"/>
  </w:num>
  <w:num w:numId="44">
    <w:abstractNumId w:val="2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CF"/>
    <w:rsid w:val="000A7B47"/>
    <w:rsid w:val="000B5CFC"/>
    <w:rsid w:val="003A24D6"/>
    <w:rsid w:val="003D3070"/>
    <w:rsid w:val="004B3CA4"/>
    <w:rsid w:val="005544B9"/>
    <w:rsid w:val="00687CC0"/>
    <w:rsid w:val="007C33CD"/>
    <w:rsid w:val="00B22866"/>
    <w:rsid w:val="00BC0E05"/>
    <w:rsid w:val="00C31393"/>
    <w:rsid w:val="00C65D30"/>
    <w:rsid w:val="00D618F6"/>
    <w:rsid w:val="00DB7C67"/>
    <w:rsid w:val="00E605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9238B"/>
  <w15:docId w15:val="{2EB123F9-1B36-40A9-A489-135ECA9D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H" w:eastAsia="fr-CH" w:bidi="fr-CH"/>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rPr>
  </w:style>
  <w:style w:type="paragraph" w:styleId="berschrift1">
    <w:name w:val="heading 1"/>
    <w:aliases w:val="D1"/>
    <w:basedOn w:val="Standard"/>
    <w:next w:val="Standard"/>
    <w:link w:val="berschrift1Zchn"/>
    <w:uiPriority w:val="1"/>
    <w:qFormat/>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szCs w:val="22"/>
      <w:lang w:eastAsia="fr-CH"/>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szCs w:val="22"/>
      <w:lang w:eastAsia="fr-CH"/>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sz w:val="14"/>
      <w:szCs w:val="22"/>
      <w:lang w:eastAsia="fr-CH"/>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fr-CH"/>
    </w:rPr>
  </w:style>
  <w:style w:type="character" w:styleId="Fett">
    <w:name w:val="Strong"/>
    <w:basedOn w:val="Absatz-Standardschriftart"/>
    <w:uiPriority w:val="22"/>
    <w:qFormat/>
    <w:rPr>
      <w:b/>
      <w:bCs/>
    </w:rPr>
  </w:style>
  <w:style w:type="character" w:styleId="IntensiveHervorhebung">
    <w:name w:val="Intense Emphasis"/>
    <w:basedOn w:val="Absatz-Standardschriftart"/>
    <w:uiPriority w:val="21"/>
    <w:qFormat/>
    <w:rPr>
      <w:i/>
      <w:iCs/>
      <w:color w:val="4F81BD" w:themeColor="accent1"/>
    </w:rPr>
  </w:style>
  <w:style w:type="character" w:styleId="IntensiverVerweis">
    <w:name w:val="Intense Reference"/>
    <w:basedOn w:val="Absatz-Standardschriftart"/>
    <w:uiPriority w:val="32"/>
    <w:qFormat/>
    <w:rPr>
      <w:b/>
      <w:bCs/>
      <w:smallCaps/>
      <w:color w:val="auto"/>
      <w:spacing w:val="5"/>
    </w:rPr>
  </w:style>
  <w:style w:type="paragraph" w:styleId="IntensivesZitat">
    <w:name w:val="Intense Quote"/>
    <w:basedOn w:val="Standard"/>
    <w:next w:val="Standard"/>
    <w:link w:val="IntensivesZitatZchn"/>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Pr>
      <w:rFonts w:eastAsia="Times New Roman" w:cstheme="minorBidi"/>
      <w:i/>
      <w:iCs/>
      <w:color w:val="4F81BD" w:themeColor="accent1"/>
      <w:lang w:eastAsia="fr-CH"/>
    </w:rPr>
  </w:style>
  <w:style w:type="paragraph" w:styleId="KeinLeerraum">
    <w:name w:val="No Spacing"/>
    <w:uiPriority w:val="1"/>
    <w:qFormat/>
    <w:rPr>
      <w:rFonts w:eastAsia="Times New Roman" w:cstheme="minorBidi"/>
    </w:rPr>
  </w:style>
  <w:style w:type="character" w:styleId="SchwacheHervorhebung">
    <w:name w:val="Subtle Emphasis"/>
    <w:basedOn w:val="Absatz-Standardschriftart"/>
    <w:uiPriority w:val="19"/>
    <w:qFormat/>
    <w:rPr>
      <w:i/>
      <w:iCs/>
      <w:color w:val="404040" w:themeColor="text1" w:themeTint="BF"/>
    </w:rPr>
  </w:style>
  <w:style w:type="character" w:customStyle="1" w:styleId="berschrift1Zchn">
    <w:name w:val="Überschrift 1 Zchn"/>
    <w:aliases w:val="D1 Zchn"/>
    <w:basedOn w:val="Absatz-Standardschriftart"/>
    <w:link w:val="berschrift1"/>
    <w:uiPriority w:val="1"/>
    <w:rPr>
      <w:rFonts w:eastAsia="Times New Roman"/>
      <w:b/>
      <w:bCs/>
      <w:sz w:val="28"/>
      <w:szCs w:val="24"/>
      <w:lang w:eastAsia="fr-CH"/>
    </w:rPr>
  </w:style>
  <w:style w:type="character" w:styleId="SchwacherVerweis">
    <w:name w:val="Subtle Reference"/>
    <w:basedOn w:val="Absatz-Standardschriftart"/>
    <w:uiPriority w:val="31"/>
    <w:qFormat/>
    <w:rPr>
      <w:smallCaps/>
      <w:color w:val="5A5A5A" w:themeColor="text1" w:themeTint="A5"/>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eastAsia="Times New Roman" w:cstheme="minorBidi"/>
      <w:i/>
      <w:iCs/>
      <w:color w:val="404040" w:themeColor="text1" w:themeTint="BF"/>
      <w:lang w:eastAsia="fr-CH"/>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rPr>
  </w:style>
  <w:style w:type="paragraph" w:customStyle="1" w:styleId="zzSeite">
    <w:name w:val="zz Seite"/>
    <w:pPr>
      <w:spacing w:line="200" w:lineRule="atLeast"/>
      <w:jc w:val="right"/>
    </w:pPr>
    <w:rPr>
      <w:rFonts w:eastAsia="Times New Roman"/>
      <w:sz w:val="14"/>
      <w:szCs w:val="24"/>
    </w:rPr>
  </w:style>
  <w:style w:type="paragraph" w:customStyle="1" w:styleId="zzFussAdr">
    <w:name w:val="zz FussAdr"/>
    <w:pPr>
      <w:spacing w:line="200" w:lineRule="atLeast"/>
    </w:pPr>
    <w:rPr>
      <w:rFonts w:eastAsia="Times New Roman"/>
      <w:noProof/>
      <w:sz w:val="15"/>
      <w:szCs w:val="24"/>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rPr>
  </w:style>
  <w:style w:type="paragraph" w:styleId="Beschriftung">
    <w:name w:val="caption"/>
    <w:basedOn w:val="Standard"/>
    <w:next w:val="Standard"/>
    <w:uiPriority w:val="7"/>
    <w:qFormat/>
    <w:pPr>
      <w:spacing w:before="18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aliases w:val="D2 Zchn"/>
    <w:basedOn w:val="Absatz-Standardschriftart"/>
    <w:link w:val="berschrift2"/>
    <w:uiPriority w:val="1"/>
    <w:rPr>
      <w:rFonts w:eastAsia="Times New Roman"/>
      <w:b/>
      <w:sz w:val="24"/>
      <w:szCs w:val="24"/>
      <w:lang w:eastAsia="fr-CH"/>
    </w:rPr>
  </w:style>
  <w:style w:type="character" w:customStyle="1" w:styleId="berschrift3Zchn">
    <w:name w:val="Überschrift 3 Zchn"/>
    <w:aliases w:val="D3 Zchn"/>
    <w:basedOn w:val="Absatz-Standardschriftart"/>
    <w:link w:val="berschrift3"/>
    <w:uiPriority w:val="1"/>
    <w:rPr>
      <w:rFonts w:eastAsia="Times New Roman" w:cs="Arial"/>
      <w:b/>
      <w:bCs/>
      <w:szCs w:val="26"/>
      <w:lang w:eastAsia="fr-CH"/>
    </w:rPr>
  </w:style>
  <w:style w:type="character" w:customStyle="1" w:styleId="berschrift4Zchn">
    <w:name w:val="Überschrift 4 Zchn"/>
    <w:aliases w:val="D4 Zchn"/>
    <w:basedOn w:val="Absatz-Standardschriftart"/>
    <w:link w:val="berschrift4"/>
    <w:uiPriority w:val="1"/>
    <w:rPr>
      <w:rFonts w:eastAsiaTheme="majorEastAsia" w:cstheme="majorBidi"/>
      <w:b/>
      <w:iCs/>
      <w:szCs w:val="26"/>
      <w:lang w:eastAsia="fr-CH"/>
    </w:rPr>
  </w:style>
  <w:style w:type="character" w:customStyle="1" w:styleId="berschrift5Zchn">
    <w:name w:val="Überschrift 5 Zchn"/>
    <w:basedOn w:val="Absatz-Standardschriftart"/>
    <w:link w:val="berschrift5"/>
    <w:uiPriority w:val="1"/>
    <w:rPr>
      <w:rFonts w:eastAsiaTheme="majorEastAsia" w:cstheme="majorBidi"/>
      <w:i/>
      <w:iCs/>
      <w:szCs w:val="26"/>
      <w:lang w:eastAsia="fr-CH"/>
    </w:rPr>
  </w:style>
  <w:style w:type="character" w:customStyle="1" w:styleId="berschrift6Zchn">
    <w:name w:val="Überschrift 6 Zchn"/>
    <w:basedOn w:val="Absatz-Standardschriftart"/>
    <w:link w:val="berschrift6"/>
    <w:uiPriority w:val="1"/>
    <w:rPr>
      <w:rFonts w:eastAsiaTheme="majorEastAsia" w:cstheme="majorBidi"/>
      <w:szCs w:val="26"/>
      <w:lang w:eastAsia="fr-CH"/>
    </w:rPr>
  </w:style>
  <w:style w:type="character" w:customStyle="1" w:styleId="berschrift7Zchn">
    <w:name w:val="Überschrift 7 Zchn"/>
    <w:basedOn w:val="Absatz-Standardschriftart"/>
    <w:link w:val="berschrift7"/>
    <w:uiPriority w:val="1"/>
    <w:rPr>
      <w:rFonts w:eastAsiaTheme="majorEastAsia" w:cstheme="majorBidi"/>
      <w:iCs/>
      <w:szCs w:val="26"/>
      <w:lang w:eastAsia="fr-CH"/>
    </w:rPr>
  </w:style>
  <w:style w:type="character" w:customStyle="1" w:styleId="berschrift8Zchn">
    <w:name w:val="Überschrift 8 Zchn"/>
    <w:basedOn w:val="Absatz-Standardschriftart"/>
    <w:link w:val="berschrift8"/>
    <w:uiPriority w:val="1"/>
    <w:rPr>
      <w:rFonts w:eastAsiaTheme="majorEastAsia" w:cstheme="majorBidi"/>
      <w:iCs/>
      <w:lang w:eastAsia="fr-CH"/>
    </w:rPr>
  </w:style>
  <w:style w:type="character" w:customStyle="1" w:styleId="berschrift9Zchn">
    <w:name w:val="Überschrift 9 Zchn"/>
    <w:basedOn w:val="Absatz-Standardschriftart"/>
    <w:link w:val="berschrift9"/>
    <w:uiPriority w:val="1"/>
    <w:rPr>
      <w:rFonts w:eastAsiaTheme="majorEastAsia" w:cstheme="majorBidi"/>
      <w:lang w:eastAsia="fr-CH"/>
    </w:rPr>
  </w:style>
  <w:style w:type="character" w:styleId="Hyperlink">
    <w:name w:val="Hyperlink"/>
    <w:basedOn w:val="Absatz-Standardschriftart"/>
    <w:uiPriority w:val="99"/>
    <w:rPr>
      <w:color w:val="0000FF"/>
      <w:u w:val="single"/>
    </w:rPr>
  </w:style>
  <w:style w:type="paragraph" w:customStyle="1" w:styleId="zzRef">
    <w:name w:val="zz Ref"/>
    <w:basedOn w:val="Standard"/>
    <w:next w:val="Standard"/>
    <w:pPr>
      <w:spacing w:line="200" w:lineRule="atLeast"/>
    </w:pPr>
    <w:rPr>
      <w:rFonts w:eastAsia="Times New Roman"/>
      <w:sz w:val="15"/>
    </w:rPr>
  </w:style>
  <w:style w:type="paragraph" w:customStyle="1" w:styleId="zzReffett">
    <w:name w:val="zz Ref fett"/>
    <w:basedOn w:val="zzRef"/>
    <w:rPr>
      <w:b/>
    </w:rPr>
  </w:style>
  <w:style w:type="paragraph" w:customStyle="1" w:styleId="zzAdresse">
    <w:name w:val="zz Adresse"/>
    <w:basedOn w:val="Standard"/>
    <w:rPr>
      <w:rFonts w:eastAsia="Times New Roman"/>
      <w:noProof/>
      <w:szCs w:val="24"/>
    </w:rPr>
  </w:style>
  <w:style w:type="paragraph" w:customStyle="1" w:styleId="PostAbs">
    <w:name w:val="PostAbs"/>
    <w:basedOn w:val="Standard"/>
    <w:uiPriority w:val="4"/>
    <w:pPr>
      <w:widowControl w:val="0"/>
      <w:spacing w:line="240" w:lineRule="auto"/>
    </w:pPr>
    <w:rPr>
      <w:rFonts w:eastAsiaTheme="minorHAnsi" w:cstheme="minorBidi"/>
      <w:bCs/>
      <w:sz w:val="16"/>
    </w:rPr>
  </w:style>
  <w:style w:type="paragraph" w:customStyle="1" w:styleId="zCDBLogo">
    <w:name w:val="z_CDB_Logo"/>
    <w:rPr>
      <w:rFonts w:eastAsia="Times New Roman"/>
      <w:noProof/>
      <w:sz w:val="15"/>
    </w:rPr>
  </w:style>
  <w:style w:type="paragraph" w:customStyle="1" w:styleId="zCDBKopfFett">
    <w:name w:val="z_CDB_KopfFett"/>
    <w:basedOn w:val="Standard"/>
    <w:pPr>
      <w:suppressAutoHyphens/>
      <w:spacing w:line="200" w:lineRule="exact"/>
    </w:pPr>
    <w:rPr>
      <w:b/>
      <w:noProof/>
      <w:sz w:val="15"/>
    </w:rPr>
  </w:style>
  <w:style w:type="paragraph" w:customStyle="1" w:styleId="TextCDB">
    <w:name w:val="Text_CDB"/>
    <w:basedOn w:val="Standard"/>
    <w:qFormat/>
    <w:pPr>
      <w:spacing w:after="120" w:line="264" w:lineRule="auto"/>
    </w:pPr>
    <w:rPr>
      <w:sz w:val="22"/>
    </w:rPr>
  </w:style>
  <w:style w:type="paragraph" w:customStyle="1" w:styleId="Kopfzeile2Departement">
    <w:name w:val="Kopfzeile2Departement"/>
    <w:basedOn w:val="Standard"/>
    <w:next w:val="Standard"/>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lang w:eastAsia="fr-CH"/>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lang w:eastAsia="fr-CH"/>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709" w:hanging="709"/>
    </w:pPr>
  </w:style>
  <w:style w:type="character" w:customStyle="1" w:styleId="TitelZchn">
    <w:name w:val="Titel Zchn"/>
    <w:basedOn w:val="Absatz-Standardschriftart"/>
    <w:link w:val="Titel"/>
    <w:uiPriority w:val="5"/>
    <w:rPr>
      <w:rFonts w:eastAsia="Times New Roman" w:cs="Arial"/>
      <w:b/>
      <w:bCs/>
      <w:kern w:val="28"/>
      <w:sz w:val="36"/>
      <w:szCs w:val="32"/>
    </w:rPr>
  </w:style>
  <w:style w:type="paragraph" w:customStyle="1" w:styleId="Tabellentextklein">
    <w:name w:val="Tabellentext klein"/>
    <w:basedOn w:val="Standard"/>
    <w:uiPriority w:val="4"/>
    <w:qFormat/>
    <w:pPr>
      <w:spacing w:before="20" w:line="180" w:lineRule="atLeast"/>
      <w:ind w:left="57" w:right="57"/>
    </w:pPr>
    <w:rPr>
      <w:sz w:val="18"/>
    </w:rPr>
  </w:style>
  <w:style w:type="paragraph" w:customStyle="1" w:styleId="zzHaupttitel">
    <w:name w:val="zz Haupttitel"/>
    <w:basedOn w:val="Standard"/>
    <w:pPr>
      <w:keepNext/>
      <w:spacing w:line="400" w:lineRule="atLeast"/>
    </w:pPr>
    <w:rPr>
      <w:rFonts w:eastAsia="Times New Roman"/>
      <w:b/>
      <w:sz w:val="42"/>
    </w:rPr>
  </w:style>
  <w:style w:type="paragraph" w:customStyle="1" w:styleId="zzUntertitel">
    <w:name w:val="zz Untertitel"/>
    <w:basedOn w:val="Standard"/>
    <w:pPr>
      <w:spacing w:line="480" w:lineRule="atLeast"/>
    </w:pPr>
    <w:rPr>
      <w:rFonts w:eastAsia="Times New Roman"/>
      <w:sz w:val="42"/>
    </w:rPr>
  </w:style>
  <w:style w:type="paragraph" w:customStyle="1" w:styleId="zzPost">
    <w:name w:val="zz Post"/>
    <w:next w:val="Standard"/>
    <w:pPr>
      <w:spacing w:after="100" w:line="200" w:lineRule="atLeast"/>
    </w:pPr>
    <w:rPr>
      <w:rFonts w:eastAsia="Times New Roman"/>
      <w:sz w:val="14"/>
      <w:u w:val="singl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eastAsia="Times New Roman" w:cs="Arial"/>
      <w:sz w:val="22"/>
      <w:szCs w:val="24"/>
      <w:lang w:eastAsia="fr-CH"/>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ZusatzformatI">
    <w:name w:val="zz Zusatzformat I"/>
    <w:basedOn w:val="Standard"/>
    <w:pPr>
      <w:spacing w:after="260"/>
    </w:pPr>
    <w:rPr>
      <w:rFonts w:eastAsia="Times New Roman"/>
      <w:szCs w:val="24"/>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fr-CH"/>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customStyle="1" w:styleId="Liste1">
    <w:name w:val="Liste 1)"/>
    <w:uiPriority w:val="2"/>
    <w:qFormat/>
    <w:pPr>
      <w:numPr>
        <w:numId w:val="14"/>
      </w:numPr>
      <w:tabs>
        <w:tab w:val="clear" w:pos="360"/>
        <w:tab w:val="left" w:pos="284"/>
      </w:tabs>
      <w:spacing w:after="60" w:line="260" w:lineRule="atLeast"/>
      <w:ind w:left="284" w:hanging="284"/>
    </w:pPr>
    <w:rPr>
      <w:rFonts w:eastAsia="Times New Roman"/>
    </w:rPr>
  </w:style>
  <w:style w:type="paragraph" w:customStyle="1" w:styleId="Listea">
    <w:name w:val="Liste a)"/>
    <w:basedOn w:val="Standard"/>
    <w:uiPriority w:val="2"/>
    <w:qFormat/>
    <w:pPr>
      <w:numPr>
        <w:numId w:val="20"/>
      </w:numPr>
      <w:tabs>
        <w:tab w:val="left" w:pos="567"/>
      </w:tabs>
      <w:spacing w:after="60"/>
      <w:ind w:left="568" w:hanging="284"/>
    </w:pPr>
  </w:style>
  <w:style w:type="paragraph" w:customStyle="1" w:styleId="ListeStrichI">
    <w:name w:val="Liste Strich I"/>
    <w:basedOn w:val="Standard"/>
    <w:uiPriority w:val="2"/>
    <w:qFormat/>
    <w:pPr>
      <w:numPr>
        <w:numId w:val="16"/>
      </w:numPr>
      <w:tabs>
        <w:tab w:val="clear" w:pos="360"/>
        <w:tab w:val="left" w:pos="284"/>
      </w:tabs>
      <w:spacing w:after="60"/>
    </w:pPr>
    <w:rPr>
      <w:rFonts w:eastAsia="Times New Roman"/>
      <w:szCs w:val="20"/>
    </w:rPr>
  </w:style>
  <w:style w:type="paragraph" w:customStyle="1" w:styleId="ListePunktI">
    <w:name w:val="Liste Punkt I"/>
    <w:basedOn w:val="Standard"/>
    <w:uiPriority w:val="2"/>
    <w:qFormat/>
    <w:pPr>
      <w:numPr>
        <w:numId w:val="17"/>
      </w:numPr>
      <w:tabs>
        <w:tab w:val="clear" w:pos="360"/>
        <w:tab w:val="left" w:pos="284"/>
      </w:tabs>
      <w:spacing w:after="60"/>
    </w:pPr>
  </w:style>
  <w:style w:type="paragraph" w:customStyle="1" w:styleId="ListeStrichII">
    <w:name w:val="Liste Strich II"/>
    <w:basedOn w:val="ListeStrichI"/>
    <w:uiPriority w:val="2"/>
    <w:qFormat/>
    <w:pPr>
      <w:numPr>
        <w:numId w:val="18"/>
      </w:numPr>
      <w:tabs>
        <w:tab w:val="clear" w:pos="284"/>
        <w:tab w:val="clear" w:pos="644"/>
        <w:tab w:val="left" w:pos="567"/>
      </w:tabs>
    </w:pPr>
  </w:style>
  <w:style w:type="paragraph" w:customStyle="1" w:styleId="ListePunktII">
    <w:name w:val="Liste Punkt II"/>
    <w:basedOn w:val="Standard"/>
    <w:uiPriority w:val="2"/>
    <w:qFormat/>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pPr>
      <w:spacing w:before="20" w:after="0" w:line="180" w:lineRule="atLeast"/>
    </w:pPr>
    <w:rPr>
      <w:sz w:val="18"/>
    </w:rPr>
  </w:style>
  <w:style w:type="paragraph" w:customStyle="1" w:styleId="zzForm">
    <w:name w:val="zz Form"/>
    <w:basedOn w:val="Standard"/>
    <w:rPr>
      <w:rFonts w:eastAsia="Times New Roman"/>
      <w:sz w:val="15"/>
      <w:szCs w:val="20"/>
    </w:rPr>
  </w:style>
  <w:style w:type="paragraph" w:customStyle="1" w:styleId="zzPlatzhalter">
    <w:name w:val="zz Platzhalter"/>
    <w:basedOn w:val="Standard"/>
    <w:next w:val="Standard"/>
    <w:pPr>
      <w:spacing w:line="240" w:lineRule="auto"/>
    </w:pPr>
    <w:rPr>
      <w:rFonts w:eastAsia="Times New Roman"/>
      <w:sz w:val="2"/>
      <w:szCs w:val="2"/>
    </w:rPr>
  </w:style>
  <w:style w:type="paragraph" w:customStyle="1" w:styleId="TitelI">
    <w:name w:val="Titel I"/>
    <w:basedOn w:val="berschrift1"/>
    <w:next w:val="Standard"/>
    <w:uiPriority w:val="6"/>
    <w:qFormat/>
    <w:pPr>
      <w:numPr>
        <w:numId w:val="0"/>
      </w:numPr>
      <w:outlineLvl w:val="9"/>
    </w:pPr>
    <w:rPr>
      <w:szCs w:val="20"/>
    </w:rPr>
  </w:style>
  <w:style w:type="paragraph" w:customStyle="1" w:styleId="TitelII">
    <w:name w:val="Titel II"/>
    <w:basedOn w:val="berschrift2"/>
    <w:next w:val="Standard"/>
    <w:uiPriority w:val="6"/>
    <w:qFormat/>
    <w:pPr>
      <w:numPr>
        <w:ilvl w:val="0"/>
        <w:numId w:val="0"/>
      </w:numPr>
      <w:tabs>
        <w:tab w:val="left" w:pos="851"/>
      </w:tabs>
      <w:outlineLvl w:val="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1026909539">
      <w:bodyDiv w:val="1"/>
      <w:marLeft w:val="0"/>
      <w:marRight w:val="0"/>
      <w:marTop w:val="0"/>
      <w:marBottom w:val="0"/>
      <w:divBdr>
        <w:top w:val="none" w:sz="0" w:space="0" w:color="auto"/>
        <w:left w:val="none" w:sz="0" w:space="0" w:color="auto"/>
        <w:bottom w:val="none" w:sz="0" w:space="0" w:color="auto"/>
        <w:right w:val="none" w:sz="0" w:space="0" w:color="auto"/>
      </w:divBdr>
    </w:div>
    <w:div w:id="1090202737">
      <w:bodyDiv w:val="1"/>
      <w:marLeft w:val="0"/>
      <w:marRight w:val="0"/>
      <w:marTop w:val="0"/>
      <w:marBottom w:val="0"/>
      <w:divBdr>
        <w:top w:val="none" w:sz="0" w:space="0" w:color="auto"/>
        <w:left w:val="none" w:sz="0" w:space="0" w:color="auto"/>
        <w:bottom w:val="none" w:sz="0" w:space="0" w:color="auto"/>
        <w:right w:val="none" w:sz="0" w:space="0" w:color="auto"/>
      </w:divBdr>
    </w:div>
    <w:div w:id="1127311136">
      <w:bodyDiv w:val="1"/>
      <w:marLeft w:val="0"/>
      <w:marRight w:val="0"/>
      <w:marTop w:val="0"/>
      <w:marBottom w:val="0"/>
      <w:divBdr>
        <w:top w:val="none" w:sz="0" w:space="0" w:color="auto"/>
        <w:left w:val="none" w:sz="0" w:space="0" w:color="auto"/>
        <w:bottom w:val="none" w:sz="0" w:space="0" w:color="auto"/>
        <w:right w:val="none" w:sz="0" w:space="0" w:color="auto"/>
      </w:divBdr>
    </w:div>
    <w:div w:id="1449928421">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 w:id="2046830381">
      <w:bodyDiv w:val="1"/>
      <w:marLeft w:val="0"/>
      <w:marRight w:val="0"/>
      <w:marTop w:val="0"/>
      <w:marBottom w:val="0"/>
      <w:divBdr>
        <w:top w:val="none" w:sz="0" w:space="0" w:color="auto"/>
        <w:left w:val="none" w:sz="0" w:space="0" w:color="auto"/>
        <w:bottom w:val="none" w:sz="0" w:space="0" w:color="auto"/>
        <w:right w:val="none" w:sz="0" w:space="0" w:color="auto"/>
      </w:divBdr>
    </w:div>
    <w:div w:id="21460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tam@blv.admin.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nf.ch/fr/leFNS/points-de-vue-politique-de-recherche/integrite-scientifique/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nf.ch/fr/leFNS/points-de-vue-politique-de-recherche/integrite-scientifique/Pages/default.aspx" TargetMode="External"/><Relationship Id="rId1" Type="http://schemas.openxmlformats.org/officeDocument/2006/relationships/hyperlink" Target="https://www.admin.ch/opc/fr/classified-compilation/20181664/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FR_StAR Multiplikatoren Anmeldung_FR"/>
    <f:field ref="objsubject" par="" edit="true" text=""/>
    <f:field ref="objcreatedby" par="" text="Moser, Luc, lmo, BLV"/>
    <f:field ref="objcreatedat" par="" text="22.01.2016 11:35:02"/>
    <f:field ref="objchangedby" par="" text="Moser, Luc, lmo, BLV"/>
    <f:field ref="objmodifiedat" par="" text="22.01.2016 11:35:31"/>
    <f:field ref="doc_FSCFOLIO_1_1001_FieldDocumentNumber" par="" text=""/>
    <f:field ref="doc_FSCFOLIO_1_1001_FieldSubject" par="" edit="true" text=""/>
    <f:field ref="FSCFOLIO_1_1001_FieldCurrentUser" par="" text="Luc Moser"/>
    <f:field ref="CCAPRECONFIG_15_1001_Objektname" par="" edit="true" text="FR_StAR Multiplikatoren Anmeldung_FR"/>
    <f:field ref="CHPRECONFIG_1_1001_Objektname" par="" edit="true" text="FR_StAR Multiplikatoren Anmeldung_F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5086D0E5-3C28-4CED-B5EC-77096FB0E80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6651</Characters>
  <Application>Microsoft Office Word</Application>
  <DocSecurity>0</DocSecurity>
  <Lines>55</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StAR Multiplikatoren Anmeldung</vt:lpstr>
      <vt:lpstr>StAR Multiplikatoren Anmeldung</vt:lpstr>
      <vt:lpstr/>
    </vt:vector>
  </TitlesOfParts>
  <Company>Bundesamt für Lebensmittelsicherheit und_x000d_
Veterinärwesen</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Multiplikatoren Anmeldung</dc:title>
  <dc:creator>Nadine Metzger</dc:creator>
  <cp:lastModifiedBy>Schwermer Heinzpeter BLV</cp:lastModifiedBy>
  <cp:revision>2</cp:revision>
  <cp:lastPrinted>2010-11-10T20:39:00Z</cp:lastPrinted>
  <dcterms:created xsi:type="dcterms:W3CDTF">2022-12-15T10:27:00Z</dcterms:created>
  <dcterms:modified xsi:type="dcterms:W3CDTF">2022-12-15T10:27:00Z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2016-01-22/74</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2016-01-22T11:35:02</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COO.2101.102.7.374711</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2013</vt:lpwstr>
  </property>
  <property fmtid="{D5CDD505-2E9C-101B-9397-08002B2CF9AE}" pid="20" name="FSC#COOELAK@1.1001:FileRefOrdinal">
    <vt:lpwstr>16470</vt:lpwstr>
  </property>
  <property fmtid="{D5CDD505-2E9C-101B-9397-08002B2CF9AE}" pid="21" name="FSC#COOELAK@1.1001:FileRefOU">
    <vt:lpwstr>TG</vt:lpwstr>
  </property>
  <property fmtid="{D5CDD505-2E9C-101B-9397-08002B2CF9AE}" pid="22" name="FSC#COOELAK@1.1001:Organization">
    <vt:lpwstr/>
  </property>
  <property fmtid="{D5CDD505-2E9C-101B-9397-08002B2CF9AE}" pid="23" name="FSC#COOELAK@1.1001:Owner">
    <vt:lpwstr>Moser Luc</vt:lpwstr>
  </property>
  <property fmtid="{D5CDD505-2E9C-101B-9397-08002B2CF9AE}" pid="24" name="FSC#COOELAK@1.1001:OwnerExtension">
    <vt:lpwstr>+41 58 463 85 14</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Interne Dienste, BLV</vt:lpwstr>
  </property>
  <property fmtid="{D5CDD505-2E9C-101B-9397-08002B2CF9AE}" pid="31" name="FSC#COOELAK@1.1001:CreatedAt">
    <vt:lpwstr>22.01.2016</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*COO.2101.102.7.374711*</vt:lpwstr>
  </property>
  <property fmtid="{D5CDD505-2E9C-101B-9397-08002B2CF9AE}" pid="35" name="FSC#COOELAK@1.1001:RefBarCode">
    <vt:lpwstr>*COO.2101.102.4.374711*</vt:lpwstr>
  </property>
  <property fmtid="{D5CDD505-2E9C-101B-9397-08002B2CF9AE}" pid="36" name="FSC#COOELAK@1.1001:FileRefBarCode">
    <vt:lpwstr>*461/2013/16470*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451</vt:lpwstr>
  </property>
  <property fmtid="{D5CDD505-2E9C-101B-9397-08002B2CF9AE}" pid="50" name="FSC#COOELAK@1.1001:CurrentUserRolePos">
    <vt:lpwstr>Sachbearbeiter/-in</vt:lpwstr>
  </property>
  <property fmtid="{D5CDD505-2E9C-101B-9397-08002B2CF9AE}" pid="51" name="FSC#COOELAK@1.1001:CurrentUserEmail">
    <vt:lpwstr>luc.moser@blv.admin.ch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451</vt:lpwstr>
  </property>
  <property fmtid="{D5CDD505-2E9C-101B-9397-08002B2CF9AE}" pid="58" name="FSC#EVDCFG@15.1400:Dossierref">
    <vt:lpwstr>461/2013/16470</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FR_StAR Multiplikatoren Anmeldung_FR</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
  </property>
  <property fmtid="{D5CDD505-2E9C-101B-9397-08002B2CF9AE}" pid="156" name="FSC#EDIBLV@15.1700:ResponsibleEditorSurname">
    <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74</vt:lpwstr>
  </property>
  <property fmtid="{D5CDD505-2E9C-101B-9397-08002B2CF9AE}" pid="165" name="FSC#BSVTEMPL@102.1950:Dossierref">
    <vt:lpwstr>461/2013/16470</vt:lpwstr>
  </property>
  <property fmtid="{D5CDD505-2E9C-101B-9397-08002B2CF9AE}" pid="166" name="FSC#BSVTEMPL@102.1950:Oursign">
    <vt:lpwstr>461/2013/16470 22.01.2016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
  </property>
  <property fmtid="{D5CDD505-2E9C-101B-9397-08002B2CF9AE}" pid="172" name="FSC#BSVTEMPL@102.1950:FileRespFax">
    <vt:lpwstr/>
  </property>
  <property fmtid="{D5CDD505-2E9C-101B-9397-08002B2CF9AE}" pid="173" name="FSC#BSVTEMPL@102.1950:FileRespHome">
    <vt:lpwstr/>
  </property>
  <property fmtid="{D5CDD505-2E9C-101B-9397-08002B2CF9AE}" pid="174" name="FSC#BSVTEMPL@102.1950:FileRespStreet">
    <vt:lpwstr/>
  </property>
  <property fmtid="{D5CDD505-2E9C-101B-9397-08002B2CF9AE}" pid="175" name="FSC#BSVTEMPL@102.1950:FileRespTel">
    <vt:lpwstr/>
  </property>
  <property fmtid="{D5CDD505-2E9C-101B-9397-08002B2CF9AE}" pid="176" name="FSC#BSVTEMPL@102.1950:FileRespZipCode">
    <vt:lpwstr/>
  </property>
  <property fmtid="{D5CDD505-2E9C-101B-9397-08002B2CF9AE}" pid="177" name="FSC#BSVTEMPL@102.1950:NameFileResponsible">
    <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
  </property>
  <property fmtid="{D5CDD505-2E9C-101B-9397-08002B2CF9AE}" pid="181" name="FSC#BSVTEMPL@102.1950:FileResponsible">
    <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FR_StAR Multiplikatoren Anmeldung_FR</vt:lpwstr>
  </property>
  <property fmtid="{D5CDD505-2E9C-101B-9397-08002B2CF9AE}" pid="191" name="FSC#BSVTEMPL@102.1950:SubjectDocument">
    <vt:lpwstr/>
  </property>
  <property fmtid="{D5CDD505-2E9C-101B-9397-08002B2CF9AE}" pid="192" name="FSC#BSVTEMPL@102.1950:TitleDossier">
    <vt:lpwstr>Umsetzung Antibiotikastrategie</vt:lpwstr>
  </property>
  <property fmtid="{D5CDD505-2E9C-101B-9397-08002B2CF9AE}" pid="193" name="FSC#BSVTEMPL@102.1950:ZusendungAm">
    <vt:lpwstr/>
  </property>
  <property fmtid="{D5CDD505-2E9C-101B-9397-08002B2CF9AE}" pid="194" name="FSC#EDICFG@15.1700:DossierrefSubFile">
    <vt:lpwstr>2016-01-22/74</vt:lpwstr>
  </property>
  <property fmtid="{D5CDD505-2E9C-101B-9397-08002B2CF9AE}" pid="195" name="FSC#EDICFG@15.1700:UniqueSubFileNumber">
    <vt:lpwstr>2016322-0074</vt:lpwstr>
  </property>
  <property fmtid="{D5CDD505-2E9C-101B-9397-08002B2CF9AE}" pid="196" name="FSC#BSVTEMPL@102.1950:DocumentIDEnhanced">
    <vt:lpwstr>461/2013/16470 22.01.2016 Doknr: 74</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
  </property>
  <property fmtid="{D5CDD505-2E9C-101B-9397-08002B2CF9AE}" pid="209" name="FSC#ATSTATECFG@1.1001:AgentPhone">
    <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FR_StAR Multiplikatoren Anmeldung_FR</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2016-01-22/74</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