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4CA" w:rsidRPr="00B623A2" w:rsidRDefault="006843B8" w:rsidP="006843B8">
      <w:pPr>
        <w:pStyle w:val="Titre"/>
        <w:rPr>
          <w:rFonts w:ascii="Arial" w:hAnsi="Arial" w:cs="Arial"/>
          <w:b/>
          <w:sz w:val="40"/>
          <w:szCs w:val="40"/>
        </w:rPr>
      </w:pPr>
      <w:bookmarkStart w:id="0" w:name="_GoBack"/>
      <w:bookmarkEnd w:id="0"/>
      <w:r w:rsidRPr="00B623A2">
        <w:rPr>
          <w:rFonts w:ascii="Arial" w:hAnsi="Arial" w:cs="Arial"/>
          <w:b/>
          <w:sz w:val="40"/>
          <w:szCs w:val="40"/>
        </w:rPr>
        <w:t>Bradford-Hill Kriterien</w:t>
      </w:r>
    </w:p>
    <w:p w:rsidR="001334CA" w:rsidRDefault="001334CA" w:rsidP="001334CA">
      <w:pPr>
        <w:spacing w:line="240" w:lineRule="auto"/>
      </w:pPr>
    </w:p>
    <w:p w:rsidR="00B623A2" w:rsidRPr="00B623A2" w:rsidRDefault="00B623A2" w:rsidP="001334CA">
      <w:pPr>
        <w:spacing w:line="240" w:lineRule="auto"/>
        <w:rPr>
          <w:b/>
        </w:rPr>
      </w:pPr>
      <w:r w:rsidRPr="00B623A2">
        <w:rPr>
          <w:b/>
        </w:rPr>
        <w:t>Stand: Februar 2020</w:t>
      </w:r>
    </w:p>
    <w:p w:rsidR="00B623A2" w:rsidRDefault="00B623A2" w:rsidP="001334CA">
      <w:pPr>
        <w:spacing w:line="240" w:lineRule="auto"/>
      </w:pPr>
    </w:p>
    <w:p w:rsidR="001334CA" w:rsidRDefault="001334CA" w:rsidP="001334CA">
      <w:pPr>
        <w:spacing w:line="240" w:lineRule="auto"/>
      </w:pPr>
      <w:r>
        <w:t>Eine weitere (respektive zusätzliche) Methode einen Zusammenhang zwischen einer Exposition und einer Erkrankung herzustellen, besteht in der Anwendu</w:t>
      </w:r>
      <w:r w:rsidR="006843B8">
        <w:t>ng der Bradford-Hill Kriterien.</w:t>
      </w:r>
    </w:p>
    <w:p w:rsidR="001334CA" w:rsidRDefault="001334CA" w:rsidP="001334CA">
      <w:pPr>
        <w:spacing w:line="240" w:lineRule="auto"/>
      </w:pPr>
    </w:p>
    <w:p w:rsidR="001334CA" w:rsidRPr="001334CA" w:rsidRDefault="001334CA" w:rsidP="001334CA">
      <w:pPr>
        <w:spacing w:line="240" w:lineRule="auto"/>
      </w:pPr>
      <w:r w:rsidRPr="001334CA">
        <w:t>Die Anwendung der Bradford-Hill Kriterien hat flexibel zu erfolgen. Diese entsprechen nicht einer Checkliste, sondern sie geben lediglich Hinweise, wie stark ein Zusammenhang zwischen einer Exposition un</w:t>
      </w:r>
      <w:r w:rsidR="006843B8">
        <w:t>d einer Erkrankung sein könnte.</w:t>
      </w:r>
    </w:p>
    <w:p w:rsidR="001334CA" w:rsidRDefault="001334CA" w:rsidP="001334CA">
      <w:pPr>
        <w:spacing w:line="240" w:lineRule="auto"/>
      </w:pPr>
    </w:p>
    <w:p w:rsidR="001334CA" w:rsidRDefault="001334CA" w:rsidP="001334CA">
      <w:pPr>
        <w:spacing w:line="240" w:lineRule="auto"/>
      </w:pPr>
      <w:r>
        <w:t xml:space="preserve">Es ist eine allgemeine Methode um einen Zusammenhang zwischen einem Risikofaktor und einer Erkrankung festzustellen. </w:t>
      </w:r>
      <w:hyperlink r:id="rId8" w:history="1">
        <w:proofErr w:type="spellStart"/>
        <w:r>
          <w:rPr>
            <w:rStyle w:val="Lienhypertexte"/>
          </w:rPr>
          <w:t>Fedak</w:t>
        </w:r>
        <w:proofErr w:type="spellEnd"/>
        <w:r>
          <w:rPr>
            <w:rStyle w:val="Lienhypertexte"/>
          </w:rPr>
          <w:t xml:space="preserve"> et al.</w:t>
        </w:r>
      </w:hyperlink>
      <w:r>
        <w:rPr>
          <w:rStyle w:val="Appelnotedebasdep"/>
        </w:rPr>
        <w:footnoteReference w:id="1"/>
      </w:r>
      <w:r>
        <w:t xml:space="preserve"> (2015) haben diese modernisiert und lis</w:t>
      </w:r>
      <w:r w:rsidR="006843B8">
        <w:t>ten nachfolgende Kriterien auf:</w:t>
      </w:r>
    </w:p>
    <w:p w:rsidR="00347C88" w:rsidRDefault="00347C88" w:rsidP="001334CA">
      <w:pPr>
        <w:spacing w:line="240" w:lineRule="auto"/>
      </w:pPr>
    </w:p>
    <w:p w:rsidR="001334CA" w:rsidRDefault="006843B8" w:rsidP="001334CA">
      <w:pPr>
        <w:pStyle w:val="Paragraphedeliste"/>
        <w:numPr>
          <w:ilvl w:val="0"/>
          <w:numId w:val="1"/>
        </w:numPr>
        <w:spacing w:line="240" w:lineRule="auto"/>
      </w:pPr>
      <w:r>
        <w:t>Assoziationsstärke:</w:t>
      </w:r>
    </w:p>
    <w:p w:rsidR="001334CA" w:rsidRDefault="001334CA" w:rsidP="001334CA">
      <w:pPr>
        <w:pStyle w:val="Paragraphedeliste"/>
        <w:numPr>
          <w:ilvl w:val="1"/>
          <w:numId w:val="1"/>
        </w:numPr>
        <w:spacing w:line="240" w:lineRule="auto"/>
      </w:pPr>
      <w:r>
        <w:t>je größer die Assoziation zwischen Exposition und Krankheit, desto wahrscheinlicher ist es, dass sie kausal ist.</w:t>
      </w:r>
    </w:p>
    <w:p w:rsidR="001334CA" w:rsidRDefault="006843B8" w:rsidP="001334CA">
      <w:pPr>
        <w:pStyle w:val="Paragraphedeliste"/>
        <w:numPr>
          <w:ilvl w:val="0"/>
          <w:numId w:val="1"/>
        </w:numPr>
        <w:spacing w:line="240" w:lineRule="auto"/>
      </w:pPr>
      <w:r>
        <w:t>Konsistenz</w:t>
      </w:r>
    </w:p>
    <w:p w:rsidR="001334CA" w:rsidRDefault="001334CA" w:rsidP="001334CA">
      <w:pPr>
        <w:pStyle w:val="Paragraphedeliste"/>
        <w:numPr>
          <w:ilvl w:val="1"/>
          <w:numId w:val="1"/>
        </w:numPr>
        <w:spacing w:line="240" w:lineRule="auto"/>
      </w:pPr>
      <w:r>
        <w:t>Die Ergebnisse sind konsistent mit bekanntem Wissen (z.B. Erreger und Lebensmittelma</w:t>
      </w:r>
      <w:r w:rsidR="006843B8">
        <w:t>trix – Kombination ist bekannt)</w:t>
      </w:r>
    </w:p>
    <w:p w:rsidR="001334CA" w:rsidRDefault="001334CA" w:rsidP="001334CA">
      <w:pPr>
        <w:pStyle w:val="Paragraphedeliste"/>
        <w:numPr>
          <w:ilvl w:val="0"/>
          <w:numId w:val="1"/>
        </w:numPr>
        <w:spacing w:line="240" w:lineRule="auto"/>
      </w:pPr>
      <w:r>
        <w:t>Spezifität</w:t>
      </w:r>
    </w:p>
    <w:p w:rsidR="001334CA" w:rsidRDefault="001334CA" w:rsidP="001334CA">
      <w:pPr>
        <w:pStyle w:val="Paragraphedeliste"/>
        <w:numPr>
          <w:ilvl w:val="1"/>
          <w:numId w:val="1"/>
        </w:numPr>
        <w:spacing w:line="240" w:lineRule="auto"/>
      </w:pPr>
      <w:r>
        <w:t>Ein Risikofaktor verursacht nur eine Erkrankung (z.B. typische Symptome ei</w:t>
      </w:r>
      <w:r w:rsidR="00D86642">
        <w:t>ner Salmonellose und nicht einer</w:t>
      </w:r>
      <w:r>
        <w:t xml:space="preserve"> Hepatitis A Infektion)</w:t>
      </w:r>
    </w:p>
    <w:p w:rsidR="001334CA" w:rsidRDefault="006843B8" w:rsidP="001334CA">
      <w:pPr>
        <w:pStyle w:val="Paragraphedeliste"/>
        <w:numPr>
          <w:ilvl w:val="0"/>
          <w:numId w:val="1"/>
        </w:numPr>
        <w:spacing w:line="240" w:lineRule="auto"/>
      </w:pPr>
      <w:r>
        <w:t>Zeitlichkeit</w:t>
      </w:r>
    </w:p>
    <w:p w:rsidR="001334CA" w:rsidRDefault="001334CA" w:rsidP="001334CA">
      <w:pPr>
        <w:pStyle w:val="Paragraphedeliste"/>
        <w:numPr>
          <w:ilvl w:val="1"/>
          <w:numId w:val="1"/>
        </w:numPr>
        <w:spacing w:line="240" w:lineRule="auto"/>
      </w:pPr>
      <w:r>
        <w:t xml:space="preserve">Einer Erkrankung geht eine </w:t>
      </w:r>
      <w:r w:rsidR="00D86642">
        <w:t>Exposition voraus (z.B. e</w:t>
      </w:r>
      <w:r>
        <w:t>ine Erkrankung (Brechdurchfall) erfolgte im Zeitraum einer möglichen Inkubationszeit (2 Std.) nach vora</w:t>
      </w:r>
      <w:r w:rsidR="006843B8">
        <w:t>ngegangener Exposition (Reis)).</w:t>
      </w:r>
    </w:p>
    <w:p w:rsidR="001334CA" w:rsidRDefault="001334CA" w:rsidP="001334CA">
      <w:pPr>
        <w:pStyle w:val="Paragraphedeliste"/>
        <w:numPr>
          <w:ilvl w:val="0"/>
          <w:numId w:val="1"/>
        </w:numPr>
        <w:spacing w:line="240" w:lineRule="auto"/>
      </w:pPr>
      <w:r>
        <w:t>Biologischer Gradient («Dosis-Wirkung»)</w:t>
      </w:r>
    </w:p>
    <w:p w:rsidR="001334CA" w:rsidRDefault="001334CA" w:rsidP="001334CA">
      <w:pPr>
        <w:pStyle w:val="Paragraphedeliste"/>
        <w:numPr>
          <w:ilvl w:val="1"/>
          <w:numId w:val="1"/>
        </w:numPr>
        <w:spacing w:line="240" w:lineRule="auto"/>
      </w:pPr>
      <w:r>
        <w:t>Zeigt sich eine Dosis-Wirkungsbeziehung, so ist es wahrscheinlicher, dass ein Zusammenhang kausal ist (z.B. Personen, die mehr gegessen, getrunken haben sind schwerer krank als solche, welch ka</w:t>
      </w:r>
      <w:r w:rsidR="006843B8">
        <w:t>um etwas davon gegessen haben).</w:t>
      </w:r>
    </w:p>
    <w:p w:rsidR="001334CA" w:rsidRDefault="006843B8" w:rsidP="001334CA">
      <w:pPr>
        <w:pStyle w:val="Paragraphedeliste"/>
        <w:numPr>
          <w:ilvl w:val="0"/>
          <w:numId w:val="1"/>
        </w:numPr>
        <w:spacing w:line="240" w:lineRule="auto"/>
      </w:pPr>
      <w:proofErr w:type="spellStart"/>
      <w:r>
        <w:t>Plausibiltät</w:t>
      </w:r>
      <w:proofErr w:type="spellEnd"/>
    </w:p>
    <w:p w:rsidR="001334CA" w:rsidRDefault="001334CA" w:rsidP="001334CA">
      <w:pPr>
        <w:pStyle w:val="Paragraphedeliste"/>
        <w:numPr>
          <w:ilvl w:val="1"/>
          <w:numId w:val="1"/>
        </w:numPr>
        <w:spacing w:line="240" w:lineRule="auto"/>
      </w:pPr>
      <w:r>
        <w:rPr>
          <w:lang w:val="de-DE"/>
        </w:rPr>
        <w:t>Ein plausibler Mechanismus zwischen Ursache und Wirkung (z.B. hohe Salmonellenzahlen in einem Leben</w:t>
      </w:r>
      <w:r w:rsidR="006843B8">
        <w:rPr>
          <w:lang w:val="de-DE"/>
        </w:rPr>
        <w:t>smittel führen zur Erkrankung).</w:t>
      </w:r>
    </w:p>
    <w:p w:rsidR="001334CA" w:rsidRDefault="001334CA" w:rsidP="001334CA">
      <w:pPr>
        <w:pStyle w:val="Paragraphedeliste"/>
        <w:numPr>
          <w:ilvl w:val="0"/>
          <w:numId w:val="1"/>
        </w:numPr>
        <w:spacing w:line="240" w:lineRule="auto"/>
      </w:pPr>
      <w:r>
        <w:t>Kohärenz</w:t>
      </w:r>
    </w:p>
    <w:p w:rsidR="001334CA" w:rsidRDefault="001334CA" w:rsidP="001334CA">
      <w:pPr>
        <w:pStyle w:val="Paragraphedeliste"/>
        <w:numPr>
          <w:ilvl w:val="1"/>
          <w:numId w:val="1"/>
        </w:numPr>
        <w:spacing w:line="240" w:lineRule="auto"/>
      </w:pPr>
      <w:r>
        <w:t>Die Ergebnisse aus den epidemiologischen, der betriebshygienischen, analytischen und medizinischen Untersuchungen widersprechen sich nicht. (z.B. Salmonellose wurde verursacht durch den Verzehr von Eiern, welche unter unhygienischen Bedingungen in eine Torte verarbeitet und bei Raumtemperatur belassen wurden).</w:t>
      </w:r>
    </w:p>
    <w:p w:rsidR="001334CA" w:rsidRDefault="001334CA" w:rsidP="001334CA">
      <w:pPr>
        <w:pStyle w:val="Paragraphedeliste"/>
        <w:numPr>
          <w:ilvl w:val="0"/>
          <w:numId w:val="1"/>
        </w:numPr>
        <w:spacing w:line="240" w:lineRule="auto"/>
      </w:pPr>
      <w:r>
        <w:t>Experimentell</w:t>
      </w:r>
    </w:p>
    <w:p w:rsidR="001334CA" w:rsidRDefault="001334CA" w:rsidP="001334CA">
      <w:pPr>
        <w:pStyle w:val="Paragraphedeliste"/>
        <w:numPr>
          <w:ilvl w:val="1"/>
          <w:numId w:val="1"/>
        </w:numPr>
        <w:spacing w:line="240" w:lineRule="auto"/>
      </w:pPr>
      <w:r>
        <w:t>Die experimentelle Überprüfung der epidemiologischen Daten (z.B. Nachweis von Botulismus Toxin im Mausmodell).</w:t>
      </w:r>
    </w:p>
    <w:p w:rsidR="001334CA" w:rsidRDefault="001334CA" w:rsidP="001334CA">
      <w:pPr>
        <w:pStyle w:val="Paragraphedeliste"/>
        <w:numPr>
          <w:ilvl w:val="0"/>
          <w:numId w:val="1"/>
        </w:numPr>
        <w:spacing w:line="240" w:lineRule="auto"/>
      </w:pPr>
      <w:r>
        <w:t xml:space="preserve">Analogie </w:t>
      </w:r>
    </w:p>
    <w:p w:rsidR="001334CA" w:rsidRDefault="001334CA" w:rsidP="00033A28">
      <w:pPr>
        <w:pStyle w:val="Paragraphedeliste"/>
        <w:numPr>
          <w:ilvl w:val="1"/>
          <w:numId w:val="1"/>
        </w:numPr>
        <w:spacing w:line="240" w:lineRule="auto"/>
      </w:pPr>
      <w:r>
        <w:t>In ähnlichen Ausbrüchen wurden ähnliche Reaktionen erreicht (z.B. EHEC auf Sprossen führen bei einigen Patie</w:t>
      </w:r>
      <w:r w:rsidR="006843B8">
        <w:t>ntinnen oder Patienten zu HUS).</w:t>
      </w:r>
    </w:p>
    <w:sectPr w:rsidR="001334CA" w:rsidSect="001334CA">
      <w:headerReference w:type="first" r:id="rId9"/>
      <w:pgSz w:w="11906" w:h="16838" w:code="9"/>
      <w:pgMar w:top="1191" w:right="1134" w:bottom="907" w:left="1701" w:header="65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830" w:rsidRDefault="00222830" w:rsidP="001334CA">
      <w:pPr>
        <w:spacing w:line="240" w:lineRule="auto"/>
      </w:pPr>
      <w:r>
        <w:separator/>
      </w:r>
    </w:p>
  </w:endnote>
  <w:endnote w:type="continuationSeparator" w:id="0">
    <w:p w:rsidR="00222830" w:rsidRDefault="00222830" w:rsidP="00133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QmkdrrMyriadPro-Regular">
    <w:panose1 w:val="00000000000000000000"/>
    <w:charset w:val="00"/>
    <w:family w:val="swiss"/>
    <w:notTrueType/>
    <w:pitch w:val="default"/>
    <w:sig w:usb0="00000003" w:usb1="00000000" w:usb2="00000000" w:usb3="00000000" w:csb0="00000001" w:csb1="00000000"/>
  </w:font>
  <w:font w:name="DrydydMyriadPro-I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830" w:rsidRDefault="00222830" w:rsidP="001334CA">
      <w:pPr>
        <w:spacing w:line="240" w:lineRule="auto"/>
      </w:pPr>
      <w:r>
        <w:separator/>
      </w:r>
    </w:p>
  </w:footnote>
  <w:footnote w:type="continuationSeparator" w:id="0">
    <w:p w:rsidR="00222830" w:rsidRDefault="00222830" w:rsidP="001334CA">
      <w:pPr>
        <w:spacing w:line="240" w:lineRule="auto"/>
      </w:pPr>
      <w:r>
        <w:continuationSeparator/>
      </w:r>
    </w:p>
  </w:footnote>
  <w:footnote w:id="1">
    <w:p w:rsidR="001334CA" w:rsidRPr="001334CA" w:rsidRDefault="001334CA" w:rsidP="001334CA">
      <w:pPr>
        <w:pStyle w:val="Notedebasdepage"/>
        <w:rPr>
          <w:lang w:val="en-US"/>
        </w:rPr>
      </w:pPr>
      <w:r>
        <w:rPr>
          <w:rStyle w:val="Appelnotedebasdep"/>
        </w:rPr>
        <w:footnoteRef/>
      </w:r>
      <w:r w:rsidRPr="001334CA">
        <w:rPr>
          <w:lang w:val="en-US"/>
        </w:rPr>
        <w:t xml:space="preserve"> </w:t>
      </w:r>
      <w:proofErr w:type="spellStart"/>
      <w:r w:rsidRPr="001334CA">
        <w:rPr>
          <w:rFonts w:ascii="QmkdrrMyriadPro-Regular" w:hAnsi="QmkdrrMyriadPro-Regular" w:cs="QmkdrrMyriadPro-Regular"/>
          <w:sz w:val="16"/>
          <w:szCs w:val="16"/>
          <w:lang w:val="en-US" w:eastAsia="de-CH"/>
        </w:rPr>
        <w:t>Fedak</w:t>
      </w:r>
      <w:proofErr w:type="spellEnd"/>
      <w:r w:rsidRPr="001334CA">
        <w:rPr>
          <w:rFonts w:ascii="QmkdrrMyriadPro-Regular" w:hAnsi="QmkdrrMyriadPro-Regular" w:cs="QmkdrrMyriadPro-Regular"/>
          <w:sz w:val="16"/>
          <w:szCs w:val="16"/>
          <w:lang w:val="en-US" w:eastAsia="de-CH"/>
        </w:rPr>
        <w:t xml:space="preserve"> </w:t>
      </w:r>
      <w:r w:rsidRPr="001334CA">
        <w:rPr>
          <w:rFonts w:ascii="DrydydMyriadPro-It" w:hAnsi="DrydydMyriadPro-It" w:cs="DrydydMyriadPro-It"/>
          <w:i/>
          <w:iCs/>
          <w:sz w:val="16"/>
          <w:szCs w:val="16"/>
          <w:lang w:val="en-US" w:eastAsia="de-CH"/>
        </w:rPr>
        <w:t xml:space="preserve">et al. </w:t>
      </w:r>
      <w:proofErr w:type="spellStart"/>
      <w:r w:rsidRPr="001334CA">
        <w:rPr>
          <w:rFonts w:ascii="DrydydMyriadPro-It" w:hAnsi="DrydydMyriadPro-It" w:cs="DrydydMyriadPro-It"/>
          <w:i/>
          <w:iCs/>
          <w:sz w:val="16"/>
          <w:szCs w:val="16"/>
          <w:lang w:val="en-US" w:eastAsia="de-CH"/>
        </w:rPr>
        <w:t>Emerg</w:t>
      </w:r>
      <w:proofErr w:type="spellEnd"/>
      <w:r w:rsidRPr="001334CA">
        <w:rPr>
          <w:rFonts w:ascii="DrydydMyriadPro-It" w:hAnsi="DrydydMyriadPro-It" w:cs="DrydydMyriadPro-It"/>
          <w:i/>
          <w:iCs/>
          <w:sz w:val="16"/>
          <w:szCs w:val="16"/>
          <w:lang w:val="en-US" w:eastAsia="de-CH"/>
        </w:rPr>
        <w:t xml:space="preserve"> Themes </w:t>
      </w:r>
      <w:proofErr w:type="spellStart"/>
      <w:r w:rsidRPr="001334CA">
        <w:rPr>
          <w:rFonts w:ascii="DrydydMyriadPro-It" w:hAnsi="DrydydMyriadPro-It" w:cs="DrydydMyriadPro-It"/>
          <w:i/>
          <w:iCs/>
          <w:sz w:val="16"/>
          <w:szCs w:val="16"/>
          <w:lang w:val="en-US" w:eastAsia="de-CH"/>
        </w:rPr>
        <w:t>Epidemiol</w:t>
      </w:r>
      <w:proofErr w:type="spellEnd"/>
      <w:r w:rsidRPr="001334CA">
        <w:rPr>
          <w:rFonts w:ascii="DrydydMyriadPro-It" w:hAnsi="DrydydMyriadPro-It" w:cs="DrydydMyriadPro-It"/>
          <w:i/>
          <w:iCs/>
          <w:sz w:val="16"/>
          <w:szCs w:val="16"/>
          <w:lang w:val="en-US" w:eastAsia="de-CH"/>
        </w:rPr>
        <w:t xml:space="preserve"> (2015) 12:14; </w:t>
      </w:r>
      <w:hyperlink r:id="rId1" w:history="1">
        <w:r w:rsidRPr="001334CA">
          <w:rPr>
            <w:rStyle w:val="Lienhypertexte"/>
            <w:rFonts w:ascii="QmkdrrMyriadPro-Regular" w:hAnsi="QmkdrrMyriadPro-Regular" w:cs="QmkdrrMyriadPro-Regular"/>
            <w:sz w:val="16"/>
            <w:szCs w:val="16"/>
            <w:lang w:val="en-US" w:eastAsia="de-CH"/>
          </w:rPr>
          <w:t>DOI 10.1186/s12982-015-0037-4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4B" w:rsidRDefault="00546E4B" w:rsidP="00546E4B">
    <w:pPr>
      <w:pStyle w:val="zzKopfDept"/>
      <w:tabs>
        <w:tab w:val="left" w:pos="4253"/>
      </w:tabs>
      <w:spacing w:after="70"/>
    </w:pPr>
    <w:r>
      <w:rPr>
        <w:lang w:val="de-DE"/>
      </w:rPr>
      <w:tab/>
      <w:t>Eidgenössisches Departement des Innern EDI</w:t>
    </w:r>
  </w:p>
  <w:p w:rsidR="00546E4B" w:rsidRDefault="00546E4B" w:rsidP="00546E4B">
    <w:pPr>
      <w:pStyle w:val="zzKopfFett"/>
      <w:tabs>
        <w:tab w:val="left" w:pos="4253"/>
      </w:tabs>
    </w:pPr>
    <w:r>
      <w:tab/>
      <w:t>Bundesamt für Lebensmittelsicherheit und</w:t>
    </w:r>
  </w:p>
  <w:p w:rsidR="00546E4B" w:rsidRDefault="00546E4B" w:rsidP="00546E4B">
    <w:pPr>
      <w:pStyle w:val="zzKopfFett"/>
      <w:tabs>
        <w:tab w:val="left" w:pos="4253"/>
      </w:tabs>
    </w:pPr>
    <w:r>
      <w:tab/>
      <w:t>Veterinärwesen BLV</w:t>
    </w:r>
  </w:p>
  <w:p w:rsidR="00546E4B" w:rsidRPr="006843B8" w:rsidRDefault="00546E4B" w:rsidP="006843B8">
    <w:pPr>
      <w:tabs>
        <w:tab w:val="left" w:pos="4253"/>
      </w:tabs>
      <w:spacing w:after="1200" w:line="200" w:lineRule="atLeast"/>
      <w:rPr>
        <w:sz w:val="15"/>
        <w:szCs w:val="15"/>
      </w:rPr>
    </w:pPr>
    <w:r>
      <w:tab/>
    </w:r>
    <w:r w:rsidRPr="00A50D43">
      <w:rPr>
        <w:bCs/>
        <w:sz w:val="15"/>
        <w:szCs w:val="15"/>
        <w:lang w:val="de-DE"/>
      </w:rPr>
      <w:t>Risikobewertung</w:t>
    </w:r>
    <w:r w:rsidRPr="00471C7B">
      <w:rPr>
        <w:rFonts w:eastAsia="Times New Roman"/>
        <w:noProof/>
        <w:sz w:val="15"/>
        <w:szCs w:val="15"/>
        <w:lang w:val="fr-CH" w:eastAsia="fr-CH"/>
      </w:rPr>
      <w:drawing>
        <wp:anchor distT="0" distB="0" distL="114300" distR="114300" simplePos="0" relativeHeight="251659264" behindDoc="0" locked="1" layoutInCell="1" allowOverlap="1" wp14:anchorId="023EA0EA" wp14:editId="37AFF305">
          <wp:simplePos x="0" y="0"/>
          <wp:positionH relativeFrom="page">
            <wp:posOffset>683895</wp:posOffset>
          </wp:positionH>
          <wp:positionV relativeFrom="page">
            <wp:posOffset>424815</wp:posOffset>
          </wp:positionV>
          <wp:extent cx="1980000" cy="496800"/>
          <wp:effectExtent l="0" t="0" r="127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34CF"/>
    <w:multiLevelType w:val="hybridMultilevel"/>
    <w:tmpl w:val="E984F74A"/>
    <w:lvl w:ilvl="0" w:tplc="73F27AC8">
      <w:start w:val="1"/>
      <w:numFmt w:val="lowerLetter"/>
      <w:lvlText w:val="%1)"/>
      <w:lvlJc w:val="left"/>
      <w:pPr>
        <w:ind w:left="644" w:hanging="360"/>
      </w:pPr>
      <w:rPr>
        <w:rFonts w:hint="default"/>
        <w:u w:val="none"/>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 w15:restartNumberingAfterBreak="0">
    <w:nsid w:val="72213ECC"/>
    <w:multiLevelType w:val="hybridMultilevel"/>
    <w:tmpl w:val="853E117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C8A016F"/>
    <w:multiLevelType w:val="hybridMultilevel"/>
    <w:tmpl w:val="A3D260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CA"/>
    <w:rsid w:val="00014FE3"/>
    <w:rsid w:val="001334CA"/>
    <w:rsid w:val="00216C36"/>
    <w:rsid w:val="00222830"/>
    <w:rsid w:val="00253443"/>
    <w:rsid w:val="00347C88"/>
    <w:rsid w:val="00546E4B"/>
    <w:rsid w:val="006002F9"/>
    <w:rsid w:val="006843B8"/>
    <w:rsid w:val="00690330"/>
    <w:rsid w:val="00695493"/>
    <w:rsid w:val="009A5666"/>
    <w:rsid w:val="00B623A2"/>
    <w:rsid w:val="00B90991"/>
    <w:rsid w:val="00BD558D"/>
    <w:rsid w:val="00D86642"/>
    <w:rsid w:val="00EA2170"/>
    <w:rsid w:val="00F023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26EE53-E9B9-4A2C-AD08-A683AA25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4CA"/>
    <w:pPr>
      <w:spacing w:after="0" w:line="260" w:lineRule="atLeast"/>
    </w:pPr>
    <w:rPr>
      <w:rFonts w:ascii="Arial" w:eastAsia="MS Mincho"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1334CA"/>
    <w:rPr>
      <w:color w:val="0000FF"/>
      <w:u w:val="single"/>
    </w:rPr>
  </w:style>
  <w:style w:type="paragraph" w:styleId="Notedebasdepage">
    <w:name w:val="footnote text"/>
    <w:basedOn w:val="Normal"/>
    <w:link w:val="NotedebasdepageCar"/>
    <w:uiPriority w:val="99"/>
    <w:semiHidden/>
    <w:unhideWhenUsed/>
    <w:rsid w:val="001334CA"/>
    <w:pPr>
      <w:tabs>
        <w:tab w:val="left" w:pos="284"/>
      </w:tabs>
      <w:spacing w:line="240" w:lineRule="auto"/>
      <w:ind w:left="284" w:hanging="284"/>
    </w:pPr>
    <w:rPr>
      <w:szCs w:val="20"/>
    </w:rPr>
  </w:style>
  <w:style w:type="character" w:customStyle="1" w:styleId="NotedebasdepageCar">
    <w:name w:val="Note de bas de page Car"/>
    <w:basedOn w:val="Policepardfaut"/>
    <w:link w:val="Notedebasdepage"/>
    <w:uiPriority w:val="99"/>
    <w:semiHidden/>
    <w:rsid w:val="001334CA"/>
    <w:rPr>
      <w:rFonts w:ascii="Arial" w:eastAsia="MS Mincho" w:hAnsi="Arial" w:cs="Times New Roman"/>
      <w:sz w:val="20"/>
      <w:szCs w:val="20"/>
    </w:rPr>
  </w:style>
  <w:style w:type="character" w:styleId="Appelnotedebasdep">
    <w:name w:val="footnote reference"/>
    <w:basedOn w:val="Policepardfaut"/>
    <w:uiPriority w:val="99"/>
    <w:semiHidden/>
    <w:unhideWhenUsed/>
    <w:rsid w:val="001334CA"/>
    <w:rPr>
      <w:vertAlign w:val="superscript"/>
    </w:rPr>
  </w:style>
  <w:style w:type="paragraph" w:styleId="Paragraphedeliste">
    <w:name w:val="List Paragraph"/>
    <w:basedOn w:val="Normal"/>
    <w:uiPriority w:val="34"/>
    <w:qFormat/>
    <w:rsid w:val="001334CA"/>
    <w:pPr>
      <w:ind w:left="567"/>
      <w:contextualSpacing/>
    </w:pPr>
  </w:style>
  <w:style w:type="paragraph" w:styleId="Titre">
    <w:name w:val="Title"/>
    <w:basedOn w:val="Normal"/>
    <w:next w:val="Normal"/>
    <w:link w:val="TitreCar"/>
    <w:uiPriority w:val="10"/>
    <w:qFormat/>
    <w:rsid w:val="001334CA"/>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334CA"/>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546E4B"/>
    <w:pPr>
      <w:tabs>
        <w:tab w:val="center" w:pos="4536"/>
        <w:tab w:val="right" w:pos="9072"/>
      </w:tabs>
      <w:spacing w:line="240" w:lineRule="auto"/>
    </w:pPr>
  </w:style>
  <w:style w:type="character" w:customStyle="1" w:styleId="En-tteCar">
    <w:name w:val="En-tête Car"/>
    <w:basedOn w:val="Policepardfaut"/>
    <w:link w:val="En-tte"/>
    <w:uiPriority w:val="99"/>
    <w:rsid w:val="00546E4B"/>
    <w:rPr>
      <w:rFonts w:ascii="Arial" w:eastAsia="MS Mincho" w:hAnsi="Arial" w:cs="Times New Roman"/>
      <w:sz w:val="20"/>
    </w:rPr>
  </w:style>
  <w:style w:type="paragraph" w:styleId="Pieddepage">
    <w:name w:val="footer"/>
    <w:basedOn w:val="Normal"/>
    <w:link w:val="PieddepageCar"/>
    <w:uiPriority w:val="99"/>
    <w:unhideWhenUsed/>
    <w:rsid w:val="00546E4B"/>
    <w:pPr>
      <w:tabs>
        <w:tab w:val="center" w:pos="4536"/>
        <w:tab w:val="right" w:pos="9072"/>
      </w:tabs>
      <w:spacing w:line="240" w:lineRule="auto"/>
    </w:pPr>
  </w:style>
  <w:style w:type="character" w:customStyle="1" w:styleId="PieddepageCar">
    <w:name w:val="Pied de page Car"/>
    <w:basedOn w:val="Policepardfaut"/>
    <w:link w:val="Pieddepage"/>
    <w:uiPriority w:val="99"/>
    <w:rsid w:val="00546E4B"/>
    <w:rPr>
      <w:rFonts w:ascii="Arial" w:eastAsia="MS Mincho" w:hAnsi="Arial" w:cs="Times New Roman"/>
      <w:sz w:val="20"/>
    </w:rPr>
  </w:style>
  <w:style w:type="paragraph" w:customStyle="1" w:styleId="zzKopfDept">
    <w:name w:val="zz KopfDept"/>
    <w:next w:val="Normal"/>
    <w:rsid w:val="00546E4B"/>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En-tte"/>
    <w:rsid w:val="00546E4B"/>
    <w:pPr>
      <w:suppressAutoHyphens/>
      <w:spacing w:after="0" w:line="200" w:lineRule="atLeast"/>
    </w:pPr>
    <w:rPr>
      <w:rFonts w:ascii="Arial" w:eastAsia="Times New Roman" w:hAnsi="Arial" w:cs="Times New Roman"/>
      <w:b/>
      <w:noProof/>
      <w:sz w:val="15"/>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589117/pdf/12982_2015_Article_3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4589117/pdf/12982_2015_Article_3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25 Bradford Hill Kriterien"/>
    <f:field ref="objsubject" par="" edit="true" text=""/>
    <f:field ref="objcreatedby" par="" text="Luethi, Thomas, tlu, BLV"/>
    <f:field ref="objcreatedat" par="" text="14.01.2020 11:58:16"/>
    <f:field ref="objchangedby" par="" text="Luethi, Thomas, tlu, BLV"/>
    <f:field ref="objmodifiedat" par="" text="10.03.2020 15:33:21"/>
    <f:field ref="doc_FSCFOLIO_1_1001_FieldDocumentNumber" par="" text=""/>
    <f:field ref="doc_FSCFOLIO_1_1001_FieldSubject" par="" edit="true" text=""/>
    <f:field ref="FSCFOLIO_1_1001_FieldCurrentUser" par="" text="Thomas Luethi"/>
    <f:field ref="CCAPRECONFIG_15_1001_Objektname" par="" edit="true" text="025 Bradford Hill Kriterien"/>
    <f:field ref="CHPRECONFIG_1_1001_Objektname" par="" edit="true" text="025 Bradford Hill Kriteri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2007</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Lüthi Thomas BLV</dc:creator>
  <cp:keywords/>
  <dc:description/>
  <cp:lastModifiedBy>Descombes Célestine BLV</cp:lastModifiedBy>
  <cp:revision>2</cp:revision>
  <dcterms:created xsi:type="dcterms:W3CDTF">2020-07-24T14:50:00Z</dcterms:created>
  <dcterms:modified xsi:type="dcterms:W3CDTF">2020-07-24T14:50:00Z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
  </property>
  <property fmtid="{D5CDD505-2E9C-101B-9397-08002B2CF9AE}" pid="8" name="FSC#EVDCFG@15.1400:DocumentID">
    <vt:lpwstr>2020-01-14/153</vt:lpwstr>
  </property>
  <property fmtid="{D5CDD505-2E9C-101B-9397-08002B2CF9AE}" pid="9" name="FSC#EVDCFG@15.1400:DossierBarCode">
    <vt:lpwstr/>
  </property>
  <property fmtid="{D5CDD505-2E9C-101B-9397-08002B2CF9AE}" pid="10" name="FSC#EVDCFG@15.1400:ActualVersionNumber">
    <vt:lpwstr>5</vt:lpwstr>
  </property>
  <property fmtid="{D5CDD505-2E9C-101B-9397-08002B2CF9AE}" pid="11" name="FSC#EVDCFG@15.1400:ActualVersionCreatedAt">
    <vt:lpwstr>2020-03-05T13:11:54</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EDIBLV@15.1700:UserInChargeUserTitle">
    <vt:lpwstr/>
  </property>
  <property fmtid="{D5CDD505-2E9C-101B-9397-08002B2CF9AE}" pid="17" name="FSC#EDIBLV@15.1700:UserInChargeUserName">
    <vt:lpwstr/>
  </property>
  <property fmtid="{D5CDD505-2E9C-101B-9397-08002B2CF9AE}" pid="18" name="FSC#EDIBLV@15.1700:UserInChargeUserFirstname">
    <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314.3</vt:lpwstr>
  </property>
  <property fmtid="{D5CDD505-2E9C-101B-9397-08002B2CF9AE}" pid="26" name="FSC#EVDCFG@15.1400:Dossierref">
    <vt:lpwstr>314.3/2014/00251</vt:lpwstr>
  </property>
  <property fmtid="{D5CDD505-2E9C-101B-9397-08002B2CF9AE}" pid="27" name="FSC#EVDCFG@15.1400:FileRespEmail">
    <vt:lpwstr/>
  </property>
  <property fmtid="{D5CDD505-2E9C-101B-9397-08002B2CF9AE}" pid="28" name="FSC#EVDCFG@15.1400:FileRespFax">
    <vt:lpwstr/>
  </property>
  <property fmtid="{D5CDD505-2E9C-101B-9397-08002B2CF9AE}" pid="29" name="FSC#EVDCFG@15.1400:FileRespHome">
    <vt:lpwstr/>
  </property>
  <property fmtid="{D5CDD505-2E9C-101B-9397-08002B2CF9AE}" pid="30" name="FSC#EVDCFG@15.1400:FileResponsible">
    <vt:lpwstr/>
  </property>
  <property fmtid="{D5CDD505-2E9C-101B-9397-08002B2CF9AE}" pid="31" name="FSC#EVDCFG@15.1400:UserInCharge">
    <vt:lpwstr/>
  </property>
  <property fmtid="{D5CDD505-2E9C-101B-9397-08002B2CF9AE}" pid="32" name="FSC#EVDCFG@15.1400:FileRespOrg">
    <vt:lpwstr>Lebensmittel und Ernährung</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
  </property>
  <property fmtid="{D5CDD505-2E9C-101B-9397-08002B2CF9AE}" pid="37" name="FSC#EVDCFG@15.1400:FileRespStreet">
    <vt:lpwstr/>
  </property>
  <property fmtid="{D5CDD505-2E9C-101B-9397-08002B2CF9AE}" pid="38" name="FSC#EVDCFG@15.1400:FileRespTel">
    <vt:lpwstr/>
  </property>
  <property fmtid="{D5CDD505-2E9C-101B-9397-08002B2CF9AE}" pid="39" name="FSC#EVDCFG@15.1400:FileRespZipCode">
    <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025 Bradford Hill Kriterien</vt:lpwstr>
  </property>
  <property fmtid="{D5CDD505-2E9C-101B-9397-08002B2CF9AE}" pid="53" name="FSC#EVDCFG@15.1400:UserFunction">
    <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LME</vt:lpwstr>
  </property>
  <property fmtid="{D5CDD505-2E9C-101B-9397-08002B2CF9AE}" pid="59" name="FSC#EDIBLV@15.1700:ResponsibleEditorFirstname">
    <vt:lpwstr/>
  </property>
  <property fmtid="{D5CDD505-2E9C-101B-9397-08002B2CF9AE}" pid="60" name="FSC#EDIBLV@15.1700:ResponsibleEditorSurname">
    <vt:lpwstr/>
  </property>
  <property fmtid="{D5CDD505-2E9C-101B-9397-08002B2CF9AE}" pid="61" name="FSC#EDIBLV@15.1700:GroupTitle">
    <vt:lpwstr>Lebensmittel und Ernährung</vt:lpwstr>
  </property>
  <property fmtid="{D5CDD505-2E9C-101B-9397-08002B2CF9AE}" pid="62" name="FSC#EVDCFG@15.1400:SalutationGerman">
    <vt:lpwstr>Lebensmittel und Ernährung</vt:lpwstr>
  </property>
  <property fmtid="{D5CDD505-2E9C-101B-9397-08002B2CF9AE}" pid="63" name="FSC#EVDCFG@15.1400:SalutationFrench">
    <vt:lpwstr>Denrées alimentaires et nutrition</vt:lpwstr>
  </property>
  <property fmtid="{D5CDD505-2E9C-101B-9397-08002B2CF9AE}" pid="64" name="FSC#EVDCFG@15.1400:SalutationItalian">
    <vt:lpwstr>Derrate alimentari e nutrizione</vt:lpwstr>
  </property>
  <property fmtid="{D5CDD505-2E9C-101B-9397-08002B2CF9AE}" pid="65" name="FSC#EVDCFG@15.1400:SalutationEnglish">
    <vt:lpwstr>Food and Nutrition</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153</vt:lpwstr>
  </property>
  <property fmtid="{D5CDD505-2E9C-101B-9397-08002B2CF9AE}" pid="73" name="FSC#BSVTEMPL@102.1950:Dossierref">
    <vt:lpwstr>314.3/2014/00251</vt:lpwstr>
  </property>
  <property fmtid="{D5CDD505-2E9C-101B-9397-08002B2CF9AE}" pid="74" name="FSC#BSVTEMPL@102.1950:Oursign">
    <vt:lpwstr>314.3/2014/00251 14.01.2020</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
  </property>
  <property fmtid="{D5CDD505-2E9C-101B-9397-08002B2CF9AE}" pid="80" name="FSC#BSVTEMPL@102.1950:FileRespFax">
    <vt:lpwstr/>
  </property>
  <property fmtid="{D5CDD505-2E9C-101B-9397-08002B2CF9AE}" pid="81" name="FSC#BSVTEMPL@102.1950:FileRespHome">
    <vt:lpwstr/>
  </property>
  <property fmtid="{D5CDD505-2E9C-101B-9397-08002B2CF9AE}" pid="82" name="FSC#BSVTEMPL@102.1950:FileRespStreet">
    <vt:lpwstr/>
  </property>
  <property fmtid="{D5CDD505-2E9C-101B-9397-08002B2CF9AE}" pid="83" name="FSC#BSVTEMPL@102.1950:FileRespTel">
    <vt:lpwstr/>
  </property>
  <property fmtid="{D5CDD505-2E9C-101B-9397-08002B2CF9AE}" pid="84" name="FSC#BSVTEMPL@102.1950:FileRespZipCode">
    <vt:lpwstr/>
  </property>
  <property fmtid="{D5CDD505-2E9C-101B-9397-08002B2CF9AE}" pid="85" name="FSC#BSVTEMPL@102.1950:NameFileResponsible">
    <vt:lpwstr/>
  </property>
  <property fmtid="{D5CDD505-2E9C-101B-9397-08002B2CF9AE}" pid="86" name="FSC#BSVTEMPL@102.1950:Shortsign">
    <vt:lpwstr/>
  </property>
  <property fmtid="{D5CDD505-2E9C-101B-9397-08002B2CF9AE}" pid="87" name="FSC#BSVTEMPL@102.1950:UserFunction">
    <vt:lpwstr/>
  </property>
  <property fmtid="{D5CDD505-2E9C-101B-9397-08002B2CF9AE}" pid="88" name="FSC#BSVTEMPL@102.1950:VornameNameFileResponsible">
    <vt:lpwstr/>
  </property>
  <property fmtid="{D5CDD505-2E9C-101B-9397-08002B2CF9AE}" pid="89" name="FSC#BSVTEMPL@102.1950:FileResponsible">
    <vt:lpwstr/>
  </property>
  <property fmtid="{D5CDD505-2E9C-101B-9397-08002B2CF9AE}" pid="90" name="FSC#BSVTEMPL@102.1950:FileRespOrg">
    <vt:lpwstr>Lebensmittel und Ernährung,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Food and Nutrition</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Bradford Hill Kriterien</vt:lpwstr>
  </property>
  <property fmtid="{D5CDD505-2E9C-101B-9397-08002B2CF9AE}" pid="99" name="FSC#BSVTEMPL@102.1950:SubjectDocument">
    <vt:lpwstr/>
  </property>
  <property fmtid="{D5CDD505-2E9C-101B-9397-08002B2CF9AE}" pid="100" name="FSC#BSVTEMPL@102.1950:TitleDossier">
    <vt:lpwstr>Lebensmittelbedingte Gruppenerkrankungen </vt:lpwstr>
  </property>
  <property fmtid="{D5CDD505-2E9C-101B-9397-08002B2CF9AE}" pid="101" name="FSC#BSVTEMPL@102.1950:ZusendungAm">
    <vt:lpwstr/>
  </property>
  <property fmtid="{D5CDD505-2E9C-101B-9397-08002B2CF9AE}" pid="102" name="FSC#EDICFG@15.1700:DossierrefSubFile">
    <vt:lpwstr>2020-01-14/153</vt:lpwstr>
  </property>
  <property fmtid="{D5CDD505-2E9C-101B-9397-08002B2CF9AE}" pid="103" name="FSC#EDICFG@15.1700:UniqueSubFileNumber">
    <vt:lpwstr>2020314-0153</vt:lpwstr>
  </property>
  <property fmtid="{D5CDD505-2E9C-101B-9397-08002B2CF9AE}" pid="104" name="FSC#BSVTEMPL@102.1950:DocumentIDEnhanced">
    <vt:lpwstr>314.3/2014/00251 14.01.2020 Doknr: 153</vt:lpwstr>
  </property>
  <property fmtid="{D5CDD505-2E9C-101B-9397-08002B2CF9AE}" pid="105" name="FSC#EDICFG@15.1700:FileRespInitials">
    <vt:lpwstr/>
  </property>
  <property fmtid="{D5CDD505-2E9C-101B-9397-08002B2CF9AE}" pid="106" name="FSC#EDICFG@15.1700:FileRespOrgD">
    <vt:lpwstr>Lebensmittel und Ernährung</vt:lpwstr>
  </property>
  <property fmtid="{D5CDD505-2E9C-101B-9397-08002B2CF9AE}" pid="107" name="FSC#EDICFG@15.1700:FileRespOrgF">
    <vt:lpwstr>Denrées alimentaires et nutrition</vt:lpwstr>
  </property>
  <property fmtid="{D5CDD505-2E9C-101B-9397-08002B2CF9AE}" pid="108" name="FSC#EDICFG@15.1700:FileRespOrgE">
    <vt:lpwstr>Food and Nutrition</vt:lpwstr>
  </property>
  <property fmtid="{D5CDD505-2E9C-101B-9397-08002B2CF9AE}" pid="109" name="FSC#EDICFG@15.1700:FileRespOrgI">
    <vt:lpwstr>Derrate alimentari e nutrizione</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Besten Dank fürs Eröffnen des Dossiers</vt:lpwstr>
  </property>
  <property fmtid="{D5CDD505-2E9C-101B-9397-08002B2CF9AE}" pid="116" name="FSC#COOELAK@1.1001:FileReference">
    <vt:lpwstr/>
  </property>
  <property fmtid="{D5CDD505-2E9C-101B-9397-08002B2CF9AE}" pid="117" name="FSC#COOELAK@1.1001:FileRefYear">
    <vt:lpwstr>2014</vt:lpwstr>
  </property>
  <property fmtid="{D5CDD505-2E9C-101B-9397-08002B2CF9AE}" pid="118" name="FSC#COOELAK@1.1001:FileRefOrdinal">
    <vt:lpwstr>251</vt:lpwstr>
  </property>
  <property fmtid="{D5CDD505-2E9C-101B-9397-08002B2CF9AE}" pid="119" name="FSC#COOELAK@1.1001:FileRefOU">
    <vt:lpwstr>LME</vt:lpwstr>
  </property>
  <property fmtid="{D5CDD505-2E9C-101B-9397-08002B2CF9AE}" pid="120" name="FSC#COOELAK@1.1001:Organization">
    <vt:lpwstr/>
  </property>
  <property fmtid="{D5CDD505-2E9C-101B-9397-08002B2CF9AE}" pid="121" name="FSC#COOELAK@1.1001:Owner">
    <vt:lpwstr>Luethi Thomas</vt:lpwstr>
  </property>
  <property fmtid="{D5CDD505-2E9C-101B-9397-08002B2CF9AE}" pid="122" name="FSC#COOELAK@1.1001:OwnerExtension">
    <vt:lpwstr>+41 58 463 84 95</vt:lpwstr>
  </property>
  <property fmtid="{D5CDD505-2E9C-101B-9397-08002B2CF9AE}" pid="123" name="FSC#COOELAK@1.1001:OwnerFaxExtension">
    <vt:lpwstr>+41 31 323 85 70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Risikobewertung, BLV</vt:lpwstr>
  </property>
  <property fmtid="{D5CDD505-2E9C-101B-9397-08002B2CF9AE}" pid="129" name="FSC#COOELAK@1.1001:CreatedAt">
    <vt:lpwstr>14.01.2020</vt:lpwstr>
  </property>
  <property fmtid="{D5CDD505-2E9C-101B-9397-08002B2CF9AE}" pid="130" name="FSC#COOELAK@1.1001:OU">
    <vt:lpwstr>Lebensmittel und Ernährung, BLV</vt:lpwstr>
  </property>
  <property fmtid="{D5CDD505-2E9C-101B-9397-08002B2CF9AE}" pid="131" name="FSC#COOELAK@1.1001:Priority">
    <vt:lpwstr> ()</vt:lpwstr>
  </property>
  <property fmtid="{D5CDD505-2E9C-101B-9397-08002B2CF9AE}" pid="132" name="FSC#COOELAK@1.1001:ObjBarCode">
    <vt:lpwstr>*COO.2101.102.1.986489*</vt:lpwstr>
  </property>
  <property fmtid="{D5CDD505-2E9C-101B-9397-08002B2CF9AE}" pid="133" name="FSC#COOELAK@1.1001:RefBarCode">
    <vt:lpwstr>*COO.2101.102.7.986490*</vt:lpwstr>
  </property>
  <property fmtid="{D5CDD505-2E9C-101B-9397-08002B2CF9AE}" pid="134" name="FSC#COOELAK@1.1001:FileRefBarCode">
    <vt:lpwstr>*314.3/2014/00251*</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
  </property>
  <property fmtid="{D5CDD505-2E9C-101B-9397-08002B2CF9AE}" pid="140" name="FSC#COOELAK@1.1001:ProcessResponsibleMail">
    <vt:lpwstr/>
  </property>
  <property fmtid="{D5CDD505-2E9C-101B-9397-08002B2CF9AE}" pid="141" name="FSC#COOELAK@1.1001:ProcessResponsibleFax">
    <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314.3</vt:lpwstr>
  </property>
  <property fmtid="{D5CDD505-2E9C-101B-9397-08002B2CF9AE}" pid="148" name="FSC#COOELAK@1.1001:CurrentUserRolePos">
    <vt:lpwstr>Sachbearbeiter/in</vt:lpwstr>
  </property>
  <property fmtid="{D5CDD505-2E9C-101B-9397-08002B2CF9AE}" pid="149" name="FSC#COOELAK@1.1001:CurrentUserEmail">
    <vt:lpwstr>Thomas.Luethi@blv.admin.ch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Bradford Hill Kriterien</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2020-01-14/153</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OOSYSTEM@1.1:Container">
    <vt:lpwstr>COO.2101.102.1.986489</vt:lpwstr>
  </property>
  <property fmtid="{D5CDD505-2E9C-101B-9397-08002B2CF9AE}" pid="179" name="FSC#FSCFOLIO@1.1001:docpropproject">
    <vt:lpwstr/>
  </property>
</Properties>
</file>