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3D" w:rsidRPr="00F6781E" w:rsidRDefault="0025483D" w:rsidP="0025483D">
      <w:pPr>
        <w:pStyle w:val="Titre"/>
        <w:rPr>
          <w:rFonts w:ascii="Arial" w:eastAsia="MS Mincho" w:hAnsi="Arial" w:cs="Times New Roman"/>
          <w:b/>
          <w:spacing w:val="0"/>
          <w:kern w:val="0"/>
          <w:sz w:val="16"/>
          <w:szCs w:val="22"/>
        </w:rPr>
      </w:pPr>
      <w:bookmarkStart w:id="0" w:name="_GoBack"/>
      <w:bookmarkEnd w:id="0"/>
      <w:r w:rsidRPr="00F6781E">
        <w:rPr>
          <w:rFonts w:ascii="Arial" w:hAnsi="Arial" w:cs="Arial"/>
          <w:b/>
          <w:sz w:val="40"/>
          <w:szCs w:val="48"/>
        </w:rPr>
        <w:t xml:space="preserve">Retrospektive </w:t>
      </w:r>
      <w:proofErr w:type="spellStart"/>
      <w:r w:rsidRPr="00F6781E">
        <w:rPr>
          <w:rFonts w:ascii="Arial" w:hAnsi="Arial" w:cs="Arial"/>
          <w:b/>
          <w:sz w:val="40"/>
          <w:szCs w:val="48"/>
        </w:rPr>
        <w:t>Kohortenstudie</w:t>
      </w:r>
      <w:proofErr w:type="spellEnd"/>
    </w:p>
    <w:p w:rsidR="0025483D" w:rsidRDefault="0025483D" w:rsidP="0025483D">
      <w:pPr>
        <w:spacing w:line="240" w:lineRule="auto"/>
      </w:pPr>
    </w:p>
    <w:p w:rsidR="0016049A" w:rsidRPr="0016049A" w:rsidRDefault="0016049A" w:rsidP="0025483D">
      <w:pPr>
        <w:spacing w:line="240" w:lineRule="auto"/>
        <w:rPr>
          <w:b/>
        </w:rPr>
      </w:pPr>
      <w:r w:rsidRPr="0016049A">
        <w:rPr>
          <w:b/>
        </w:rPr>
        <w:t>Stand: Februar 2020</w:t>
      </w:r>
    </w:p>
    <w:p w:rsidR="0016049A" w:rsidRDefault="0016049A" w:rsidP="0025483D">
      <w:pPr>
        <w:spacing w:line="240" w:lineRule="auto"/>
      </w:pPr>
    </w:p>
    <w:p w:rsidR="0025483D" w:rsidRDefault="0025483D" w:rsidP="005561E2">
      <w:pPr>
        <w:spacing w:line="240" w:lineRule="auto"/>
      </w:pPr>
      <w:r w:rsidRPr="005561E2">
        <w:rPr>
          <w:b/>
        </w:rPr>
        <w:t>Anwendung</w:t>
      </w:r>
      <w:r>
        <w:t xml:space="preserve">: Bei Ausbrüchen, mit einer begrenzten Anzahl exponierter Personen, die nur </w:t>
      </w:r>
      <w:proofErr w:type="gramStart"/>
      <w:r>
        <w:t>eine einzige oder wenige Mahlzeiten</w:t>
      </w:r>
      <w:proofErr w:type="gramEnd"/>
      <w:r>
        <w:t xml:space="preserve"> betreffen ist es möglich und wünschenswert, alle Anwesenden, sowohl Gesunde als auch Kranke, zu befragen. Ist die Kohorte zu gross, kann auch eine Zufallsauswahl der Population befragt werden.</w:t>
      </w:r>
    </w:p>
    <w:p w:rsidR="0025483D" w:rsidRDefault="0025483D" w:rsidP="0025483D">
      <w:pPr>
        <w:spacing w:line="240" w:lineRule="auto"/>
      </w:pPr>
    </w:p>
    <w:p w:rsidR="0025483D" w:rsidRDefault="0025483D" w:rsidP="005561E2">
      <w:pPr>
        <w:spacing w:line="240" w:lineRule="auto"/>
      </w:pPr>
      <w:r w:rsidRPr="005561E2">
        <w:rPr>
          <w:b/>
        </w:rPr>
        <w:t>Durchführung</w:t>
      </w:r>
      <w:r>
        <w:t xml:space="preserve">: Befragung aller exponierter Personen betreffend </w:t>
      </w:r>
      <w:proofErr w:type="gramStart"/>
      <w:r>
        <w:t>der verzehrten Lebensmittel</w:t>
      </w:r>
      <w:proofErr w:type="gramEnd"/>
      <w:r>
        <w:t xml:space="preserve"> / Speisen und deren Auswirkungen auf die Gesundheit (Abb.</w:t>
      </w:r>
      <w:r w:rsidR="00DA1A5E">
        <w:t>1</w:t>
      </w:r>
      <w:r>
        <w:t>). Die Ergebnisse werden idealerweise in einer 2 x 2 Tafel festgehalten und die Assoziation Krankheit/verzehrte Speise anschliessend berechnet.</w:t>
      </w:r>
    </w:p>
    <w:p w:rsidR="0025483D" w:rsidRDefault="0025483D" w:rsidP="0025483D">
      <w:pPr>
        <w:spacing w:line="240" w:lineRule="auto"/>
      </w:pPr>
    </w:p>
    <w:p w:rsidR="0025483D" w:rsidRDefault="005561E2" w:rsidP="0025483D">
      <w:pPr>
        <w:spacing w:line="240" w:lineRule="auto"/>
        <w:jc w:val="center"/>
      </w:pPr>
      <w:r>
        <w:rPr>
          <w:noProof/>
          <w:lang w:val="fr-CH" w:eastAsia="fr-CH"/>
        </w:rPr>
        <w:drawing>
          <wp:inline distT="0" distB="0" distL="0" distR="0" wp14:anchorId="6F576789" wp14:editId="3FC1E458">
            <wp:extent cx="5760085" cy="15665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074" w:rsidRDefault="00460074" w:rsidP="00460074">
      <w:pPr>
        <w:spacing w:line="240" w:lineRule="auto"/>
      </w:pPr>
    </w:p>
    <w:p w:rsidR="0025483D" w:rsidRDefault="0025483D" w:rsidP="0025483D">
      <w:pPr>
        <w:spacing w:line="240" w:lineRule="auto"/>
      </w:pPr>
      <w:r w:rsidRPr="005561E2">
        <w:rPr>
          <w:b/>
        </w:rPr>
        <w:t>Abb.</w:t>
      </w:r>
      <w:r w:rsidR="005010F2" w:rsidRPr="005561E2">
        <w:rPr>
          <w:b/>
        </w:rPr>
        <w:t>1</w:t>
      </w:r>
      <w:r>
        <w:t xml:space="preserve"> Konzeption der retrospektiven </w:t>
      </w:r>
      <w:proofErr w:type="spellStart"/>
      <w:r>
        <w:t>Kohortenstudie</w:t>
      </w:r>
      <w:proofErr w:type="spellEnd"/>
      <w:r>
        <w:t xml:space="preserve"> </w:t>
      </w:r>
      <w:r>
        <w:tab/>
      </w:r>
      <w:r>
        <w:tab/>
      </w:r>
      <w:r>
        <w:tab/>
      </w:r>
      <w:r w:rsidR="00DA1A5E">
        <w:tab/>
      </w:r>
      <w:r w:rsidR="00DA1A5E">
        <w:tab/>
      </w:r>
      <w:r w:rsidRPr="00DA1A5E">
        <w:rPr>
          <w:sz w:val="14"/>
        </w:rPr>
        <w:t xml:space="preserve">(Bild </w:t>
      </w:r>
      <w:r w:rsidRPr="00DA1A5E">
        <w:rPr>
          <w:rFonts w:cs="Arial"/>
          <w:sz w:val="14"/>
        </w:rPr>
        <w:t>©</w:t>
      </w:r>
      <w:proofErr w:type="spellStart"/>
      <w:r w:rsidR="00460074">
        <w:rPr>
          <w:sz w:val="14"/>
        </w:rPr>
        <w:t>pixaby</w:t>
      </w:r>
      <w:proofErr w:type="spellEnd"/>
      <w:r w:rsidR="00460074">
        <w:rPr>
          <w:sz w:val="14"/>
        </w:rPr>
        <w:t>).</w:t>
      </w:r>
    </w:p>
    <w:p w:rsidR="0025483D" w:rsidRDefault="0025483D" w:rsidP="0025483D">
      <w:pPr>
        <w:spacing w:line="240" w:lineRule="auto"/>
      </w:pPr>
    </w:p>
    <w:p w:rsidR="0025483D" w:rsidRDefault="0025483D" w:rsidP="0025483D">
      <w:pPr>
        <w:spacing w:line="240" w:lineRule="auto"/>
      </w:pPr>
    </w:p>
    <w:p w:rsidR="0025483D" w:rsidRDefault="0025483D" w:rsidP="005561E2">
      <w:pPr>
        <w:spacing w:line="240" w:lineRule="auto"/>
      </w:pPr>
      <w:r w:rsidRPr="005561E2">
        <w:rPr>
          <w:b/>
        </w:rPr>
        <w:t>Analyse</w:t>
      </w:r>
      <w:r>
        <w:t xml:space="preserve">: Für jede Exposition (jedes Lebensmittel) wird der Anteil, der Exponierten beziehungsweise nicht exponierten (die sog. </w:t>
      </w:r>
      <w:proofErr w:type="spellStart"/>
      <w:r>
        <w:t>Attackrate</w:t>
      </w:r>
      <w:proofErr w:type="spellEnd"/>
      <w:r>
        <w:t>) ermittelt, das relative Risiko berechnet und di</w:t>
      </w:r>
      <w:r w:rsidR="00DA1A5E">
        <w:t>e Konfidenzintervalle bestimmt.</w:t>
      </w:r>
    </w:p>
    <w:p w:rsidR="00DA1A5E" w:rsidRDefault="00DA1A5E" w:rsidP="00DA1A5E">
      <w:pPr>
        <w:spacing w:line="240" w:lineRule="auto"/>
        <w:ind w:left="360"/>
      </w:pPr>
    </w:p>
    <w:p w:rsidR="0025483D" w:rsidRDefault="0025483D" w:rsidP="005561E2">
      <w:pPr>
        <w:spacing w:line="240" w:lineRule="auto"/>
      </w:pPr>
      <w:r w:rsidRPr="005561E2">
        <w:rPr>
          <w:b/>
        </w:rPr>
        <w:t>Interpretation der Ergebnisse</w:t>
      </w:r>
      <w:r>
        <w:t xml:space="preserve">: </w:t>
      </w:r>
    </w:p>
    <w:p w:rsidR="0025483D" w:rsidRDefault="0025483D" w:rsidP="0025483D">
      <w:pPr>
        <w:spacing w:line="240" w:lineRule="auto"/>
      </w:pPr>
      <w:r>
        <w:tab/>
        <w:t>Ein relatives</w:t>
      </w:r>
      <w:r w:rsidR="00460074">
        <w:t xml:space="preserve"> Risiko von grösser 1 bedeutet:</w:t>
      </w:r>
    </w:p>
    <w:p w:rsidR="0025483D" w:rsidRDefault="0025483D" w:rsidP="0025483D">
      <w:pPr>
        <w:spacing w:line="240" w:lineRule="auto"/>
        <w:ind w:firstLine="709"/>
        <w:rPr>
          <w:i/>
          <w:iCs/>
        </w:rPr>
      </w:pPr>
      <w:r>
        <w:rPr>
          <w:i/>
          <w:iCs/>
        </w:rPr>
        <w:t>«Die Exposition (die Speise / Lebensmittel) erhöht das Risiko zu erkranken (=</w:t>
      </w:r>
      <w:proofErr w:type="gramStart"/>
      <w:r>
        <w:rPr>
          <w:i/>
          <w:iCs/>
        </w:rPr>
        <w:t>Risikofaktor)»</w:t>
      </w:r>
      <w:proofErr w:type="gramEnd"/>
      <w:r>
        <w:rPr>
          <w:i/>
          <w:iCs/>
        </w:rPr>
        <w:t xml:space="preserve"> </w:t>
      </w:r>
    </w:p>
    <w:p w:rsidR="0025483D" w:rsidRDefault="0025483D" w:rsidP="0025483D">
      <w:pPr>
        <w:spacing w:line="240" w:lineRule="auto"/>
      </w:pPr>
      <w:r>
        <w:tab/>
        <w:t>Ein r</w:t>
      </w:r>
      <w:r w:rsidR="00460074">
        <w:t>elatives Risiko von 1 bedeutet:</w:t>
      </w:r>
    </w:p>
    <w:p w:rsidR="0025483D" w:rsidRDefault="0025483D" w:rsidP="0025483D">
      <w:pPr>
        <w:spacing w:line="240" w:lineRule="auto"/>
        <w:ind w:firstLine="709"/>
        <w:rPr>
          <w:i/>
          <w:iCs/>
        </w:rPr>
      </w:pPr>
      <w:r>
        <w:rPr>
          <w:i/>
          <w:iCs/>
        </w:rPr>
        <w:t>«Die Exposition (die Speise / Lebensmittel) hat keinen Einfluss auf die Erkrankung»</w:t>
      </w:r>
    </w:p>
    <w:p w:rsidR="0025483D" w:rsidRDefault="0025483D" w:rsidP="0025483D">
      <w:pPr>
        <w:spacing w:line="240" w:lineRule="auto"/>
      </w:pPr>
      <w:r>
        <w:tab/>
        <w:t>Ein relatives</w:t>
      </w:r>
      <w:r w:rsidR="00460074">
        <w:t xml:space="preserve"> Risiko von kleiner 1 bedeutet:</w:t>
      </w:r>
    </w:p>
    <w:p w:rsidR="0025483D" w:rsidRDefault="0025483D" w:rsidP="0025483D">
      <w:pPr>
        <w:spacing w:line="240" w:lineRule="auto"/>
        <w:rPr>
          <w:i/>
          <w:iCs/>
        </w:rPr>
      </w:pPr>
      <w:r>
        <w:tab/>
        <w:t>«</w:t>
      </w:r>
      <w:r>
        <w:rPr>
          <w:i/>
          <w:iCs/>
        </w:rPr>
        <w:t xml:space="preserve">Die Exposition (die Speise / Lebensmittel) senkt das Risiko zu </w:t>
      </w:r>
      <w:proofErr w:type="gramStart"/>
      <w:r>
        <w:rPr>
          <w:i/>
          <w:iCs/>
        </w:rPr>
        <w:t>erkranken.»</w:t>
      </w:r>
      <w:proofErr w:type="gramEnd"/>
      <w:r>
        <w:rPr>
          <w:i/>
          <w:iCs/>
        </w:rPr>
        <w:t xml:space="preserve"> </w:t>
      </w:r>
    </w:p>
    <w:p w:rsidR="0025483D" w:rsidRDefault="0025483D" w:rsidP="0025483D">
      <w:pPr>
        <w:spacing w:line="240" w:lineRule="auto"/>
      </w:pPr>
    </w:p>
    <w:p w:rsidR="0025483D" w:rsidRDefault="0025483D" w:rsidP="0025483D">
      <w:pPr>
        <w:spacing w:line="240" w:lineRule="auto"/>
      </w:pPr>
      <w:r>
        <w:t xml:space="preserve">Bei der Interpretation der Ergebnisse ist das Vertrauensintervall (dieses beinhaltet die 1 nicht) zu </w:t>
      </w:r>
      <w:r w:rsidR="00460074">
        <w:t>berücksichtigen.</w:t>
      </w:r>
    </w:p>
    <w:p w:rsidR="005532DC" w:rsidRDefault="005532DC">
      <w:pPr>
        <w:spacing w:after="160" w:line="259" w:lineRule="auto"/>
      </w:pPr>
      <w:r>
        <w:br w:type="page"/>
      </w:r>
    </w:p>
    <w:p w:rsidR="005532DC" w:rsidRPr="005561E2" w:rsidRDefault="005532DC" w:rsidP="00695493">
      <w:pPr>
        <w:rPr>
          <w:b/>
          <w:sz w:val="28"/>
        </w:rPr>
      </w:pPr>
      <w:r w:rsidRPr="005561E2">
        <w:rPr>
          <w:b/>
          <w:sz w:val="28"/>
        </w:rPr>
        <w:lastRenderedPageBreak/>
        <w:t>Berechnungsbeispiel</w:t>
      </w:r>
    </w:p>
    <w:p w:rsidR="005532DC" w:rsidRDefault="005532DC" w:rsidP="00695493"/>
    <w:p w:rsidR="005532DC" w:rsidRDefault="005532DC" w:rsidP="00695493">
      <w:r>
        <w:rPr>
          <w:noProof/>
          <w:lang w:val="fr-CH" w:eastAsia="fr-CH"/>
        </w:rPr>
        <w:drawing>
          <wp:inline distT="0" distB="0" distL="0" distR="0" wp14:anchorId="158AF7CE" wp14:editId="3C0473C3">
            <wp:extent cx="4572000" cy="2990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DC" w:rsidRDefault="005010F2" w:rsidP="00695493">
      <w:r w:rsidRPr="00DA1A5E">
        <w:rPr>
          <w:b/>
        </w:rPr>
        <w:t xml:space="preserve">Abb. 2 </w:t>
      </w:r>
      <w:r w:rsidR="005561E2">
        <w:rPr>
          <w:b/>
        </w:rPr>
        <w:t xml:space="preserve">Berechnung von </w:t>
      </w:r>
      <w:r w:rsidRPr="00DA1A5E">
        <w:rPr>
          <w:b/>
        </w:rPr>
        <w:t>RR</w:t>
      </w:r>
      <w:r>
        <w:t xml:space="preserve">: Relatives Risiko; I: </w:t>
      </w:r>
      <w:proofErr w:type="spellStart"/>
      <w:r>
        <w:t>Individuuen</w:t>
      </w:r>
      <w:proofErr w:type="spellEnd"/>
    </w:p>
    <w:p w:rsidR="005532DC" w:rsidRDefault="005532DC" w:rsidP="00695493"/>
    <w:p w:rsidR="005532DC" w:rsidRDefault="005532DC" w:rsidP="00695493">
      <w:r w:rsidRPr="005532DC">
        <w:rPr>
          <w:b/>
        </w:rPr>
        <w:t>Es empfiehlt sich für die Berechnung das Hilfsmittel «Erfassung und Analyse epidemiologischer Abklärung» zu benutzen</w:t>
      </w:r>
      <w:r>
        <w:t xml:space="preserve">. </w:t>
      </w:r>
    </w:p>
    <w:p w:rsidR="005532DC" w:rsidRDefault="005532DC" w:rsidP="00695493"/>
    <w:p w:rsidR="005532DC" w:rsidRDefault="00460074" w:rsidP="00695493">
      <w:r>
        <w:t>Ein Berechnungsbeispiel daraus:</w:t>
      </w:r>
    </w:p>
    <w:p w:rsidR="005532DC" w:rsidRDefault="005532DC" w:rsidP="00695493">
      <w:r>
        <w:rPr>
          <w:noProof/>
          <w:lang w:val="fr-CH" w:eastAsia="fr-CH"/>
        </w:rPr>
        <w:drawing>
          <wp:inline distT="0" distB="0" distL="0" distR="0" wp14:anchorId="42475078" wp14:editId="29AC28AF">
            <wp:extent cx="4924425" cy="11049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532DC" w:rsidRDefault="005532DC" w:rsidP="00695493"/>
    <w:p w:rsidR="005532DC" w:rsidRPr="00DA1A5E" w:rsidRDefault="005532DC" w:rsidP="00695493">
      <w:pPr>
        <w:rPr>
          <w:b/>
        </w:rPr>
      </w:pPr>
      <w:r w:rsidRPr="00DA1A5E">
        <w:rPr>
          <w:b/>
        </w:rPr>
        <w:t>Das Relative Risiko beträgt in diesem Beispiel: 4.42 (Ve</w:t>
      </w:r>
      <w:r w:rsidR="00460074">
        <w:rPr>
          <w:b/>
        </w:rPr>
        <w:t>rtrauensintervall: 1.98 – 9.84)</w:t>
      </w:r>
      <w:r w:rsidRPr="00DA1A5E">
        <w:rPr>
          <w:b/>
        </w:rPr>
        <w:t>.</w:t>
      </w:r>
    </w:p>
    <w:p w:rsidR="005532DC" w:rsidRDefault="005532DC" w:rsidP="00695493"/>
    <w:p w:rsidR="005532DC" w:rsidRPr="005532DC" w:rsidRDefault="00460074" w:rsidP="00695493">
      <w:pPr>
        <w:rPr>
          <w:b/>
        </w:rPr>
      </w:pPr>
      <w:r>
        <w:rPr>
          <w:b/>
        </w:rPr>
        <w:t>Interpretation:</w:t>
      </w:r>
    </w:p>
    <w:p w:rsidR="005532DC" w:rsidRDefault="005532DC" w:rsidP="005532DC">
      <w:pPr>
        <w:spacing w:line="240" w:lineRule="auto"/>
      </w:pPr>
      <w:r>
        <w:t>Ein relatives</w:t>
      </w:r>
      <w:r w:rsidR="00460074">
        <w:t xml:space="preserve"> Risiko von grösser 1 bedeutet:</w:t>
      </w:r>
    </w:p>
    <w:p w:rsidR="005532DC" w:rsidRPr="00695493" w:rsidRDefault="005532DC" w:rsidP="005532DC">
      <w:r>
        <w:rPr>
          <w:i/>
          <w:iCs/>
        </w:rPr>
        <w:t>«Die Exposition (die Speise / Lebensmittel) erhöht das Risiko zu erkranken (=</w:t>
      </w:r>
      <w:proofErr w:type="gramStart"/>
      <w:r>
        <w:rPr>
          <w:i/>
          <w:iCs/>
        </w:rPr>
        <w:t>Risikofaktor)»</w:t>
      </w:r>
      <w:proofErr w:type="gramEnd"/>
    </w:p>
    <w:sectPr w:rsidR="005532DC" w:rsidRPr="00695493" w:rsidSect="0025483D">
      <w:headerReference w:type="first" r:id="rId11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D8" w:rsidRDefault="00314FD8" w:rsidP="00D33199">
      <w:pPr>
        <w:spacing w:line="240" w:lineRule="auto"/>
      </w:pPr>
      <w:r>
        <w:separator/>
      </w:r>
    </w:p>
  </w:endnote>
  <w:endnote w:type="continuationSeparator" w:id="0">
    <w:p w:rsidR="00314FD8" w:rsidRDefault="00314FD8" w:rsidP="00D33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D8" w:rsidRDefault="00314FD8" w:rsidP="00D33199">
      <w:pPr>
        <w:spacing w:line="240" w:lineRule="auto"/>
      </w:pPr>
      <w:r>
        <w:separator/>
      </w:r>
    </w:p>
  </w:footnote>
  <w:footnote w:type="continuationSeparator" w:id="0">
    <w:p w:rsidR="00314FD8" w:rsidRDefault="00314FD8" w:rsidP="00D33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99" w:rsidRDefault="00D33199" w:rsidP="00D33199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:rsidR="00D33199" w:rsidRDefault="00D33199" w:rsidP="00D33199">
    <w:pPr>
      <w:pStyle w:val="zzKopfFett"/>
      <w:tabs>
        <w:tab w:val="left" w:pos="4253"/>
      </w:tabs>
    </w:pPr>
    <w:r>
      <w:tab/>
      <w:t>Bundesamt für Lebensmittelsicherheit und</w:t>
    </w:r>
  </w:p>
  <w:p w:rsidR="00D33199" w:rsidRDefault="00D33199" w:rsidP="00D33199">
    <w:pPr>
      <w:pStyle w:val="zzKopfFett"/>
      <w:tabs>
        <w:tab w:val="left" w:pos="4253"/>
      </w:tabs>
    </w:pPr>
    <w:r>
      <w:tab/>
      <w:t>Veterinärwesen BLV</w:t>
    </w:r>
  </w:p>
  <w:p w:rsidR="00D33199" w:rsidRPr="00460074" w:rsidRDefault="00D33199" w:rsidP="00460074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 w:rsidRPr="00A50D43">
      <w:rPr>
        <w:bCs/>
        <w:sz w:val="15"/>
        <w:szCs w:val="15"/>
        <w:lang w:val="de-DE"/>
      </w:rPr>
      <w:t>Risikobewertung</w:t>
    </w:r>
    <w:r w:rsidRPr="00471C7B">
      <w:rPr>
        <w:rFonts w:eastAsia="Times New Roman"/>
        <w:noProof/>
        <w:sz w:val="15"/>
        <w:szCs w:val="15"/>
        <w:lang w:val="fr-CH" w:eastAsia="fr-CH"/>
      </w:rPr>
      <w:drawing>
        <wp:anchor distT="0" distB="0" distL="114300" distR="114300" simplePos="0" relativeHeight="251659264" behindDoc="0" locked="1" layoutInCell="1" allowOverlap="1" wp14:anchorId="023EA0EA" wp14:editId="37AFF305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34CF"/>
    <w:multiLevelType w:val="hybridMultilevel"/>
    <w:tmpl w:val="E984F74A"/>
    <w:lvl w:ilvl="0" w:tplc="73F27AC8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49283B"/>
    <w:multiLevelType w:val="hybridMultilevel"/>
    <w:tmpl w:val="0F3E04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A016F"/>
    <w:multiLevelType w:val="hybridMultilevel"/>
    <w:tmpl w:val="A3D260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3D"/>
    <w:rsid w:val="0016049A"/>
    <w:rsid w:val="00216C36"/>
    <w:rsid w:val="0025483D"/>
    <w:rsid w:val="00314FD8"/>
    <w:rsid w:val="00460074"/>
    <w:rsid w:val="005010F2"/>
    <w:rsid w:val="005532DC"/>
    <w:rsid w:val="005561E2"/>
    <w:rsid w:val="005977CB"/>
    <w:rsid w:val="006002F9"/>
    <w:rsid w:val="006058BF"/>
    <w:rsid w:val="00606239"/>
    <w:rsid w:val="00690330"/>
    <w:rsid w:val="00695493"/>
    <w:rsid w:val="00BD558D"/>
    <w:rsid w:val="00D33199"/>
    <w:rsid w:val="00DA1A5E"/>
    <w:rsid w:val="00EA2170"/>
    <w:rsid w:val="00EB6A90"/>
    <w:rsid w:val="00F6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B1D492C-5977-48A9-B8E8-5EE94B50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3D"/>
    <w:pPr>
      <w:spacing w:after="0" w:line="260" w:lineRule="atLeast"/>
    </w:pPr>
    <w:rPr>
      <w:rFonts w:ascii="Arial" w:eastAsia="MS Mincho" w:hAnsi="Arial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83D"/>
    <w:pPr>
      <w:ind w:left="567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5483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548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D3319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199"/>
    <w:rPr>
      <w:rFonts w:ascii="Arial" w:eastAsia="MS Mincho" w:hAnsi="Arial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3319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199"/>
    <w:rPr>
      <w:rFonts w:ascii="Arial" w:eastAsia="MS Mincho" w:hAnsi="Arial" w:cs="Times New Roman"/>
      <w:sz w:val="20"/>
    </w:rPr>
  </w:style>
  <w:style w:type="paragraph" w:customStyle="1" w:styleId="zzKopfDept">
    <w:name w:val="zz KopfDept"/>
    <w:next w:val="Normal"/>
    <w:rsid w:val="00D33199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En-tte"/>
    <w:rsid w:val="00D33199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Retrospektive Kohortenstudie"/>
    <f:field ref="objsubject" par="" edit="true" text=""/>
    <f:field ref="objcreatedby" par="" text="Luethi, Thomas, tlu, BLV"/>
    <f:field ref="objcreatedat" par="" text="14.01.2020 11:58:05"/>
    <f:field ref="objchangedby" par="" text="Witschi, Nathalie, nwi, BLV"/>
    <f:field ref="objmodifiedat" par="" text="03.02.2020 15:59:47"/>
    <f:field ref="doc_FSCFOLIO_1_1001_FieldDocumentNumber" par="" text=""/>
    <f:field ref="doc_FSCFOLIO_1_1001_FieldSubject" par="" edit="true" text=""/>
    <f:field ref="FSCFOLIO_1_1001_FieldCurrentUser" par="" text="Nathalie Witschi"/>
    <f:field ref="CCAPRECONFIG_15_1001_Objektname" par="" edit="true" text="Retrospektive Kohortenstudie"/>
    <f:field ref="CHPRECONFIG_1_1001_Objektname" par="" edit="true" text="Retrospektive Kohortenstudi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Lüthi Thomas BLV</dc:creator>
  <cp:keywords/>
  <dc:description/>
  <cp:lastModifiedBy>Descombes Célestine BLV</cp:lastModifiedBy>
  <cp:revision>2</cp:revision>
  <dcterms:created xsi:type="dcterms:W3CDTF">2020-07-24T14:49:00Z</dcterms:created>
  <dcterms:modified xsi:type="dcterms:W3CDTF">2020-07-24T14:49:00Z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2020-01-14/152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2020-02-03T15:59:46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/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314.3</vt:lpwstr>
  </property>
  <property fmtid="{D5CDD505-2E9C-101B-9397-08002B2CF9AE}" pid="26" name="FSC#EVDCFG@15.1400:Dossierref">
    <vt:lpwstr>314.3/2014/00251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Lebensmittel und Ernährung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Retrospektive Kohortenstudie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/>
  </property>
  <property fmtid="{D5CDD505-2E9C-101B-9397-08002B2CF9AE}" pid="60" name="FSC#EDIBLV@15.1700:ResponsibleEditorSurname">
    <vt:lpwstr/>
  </property>
  <property fmtid="{D5CDD505-2E9C-101B-9397-08002B2CF9AE}" pid="61" name="FSC#EDIBLV@15.1700:GroupTitle">
    <vt:lpwstr>Lebensmittel und Ernährung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152</vt:lpwstr>
  </property>
  <property fmtid="{D5CDD505-2E9C-101B-9397-08002B2CF9AE}" pid="73" name="FSC#BSVTEMPL@102.1950:Dossierref">
    <vt:lpwstr>314.3/2014/00251</vt:lpwstr>
  </property>
  <property fmtid="{D5CDD505-2E9C-101B-9397-08002B2CF9AE}" pid="74" name="FSC#BSVTEMPL@102.1950:Oursign">
    <vt:lpwstr>314.3/2014/00251 14.01.2020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/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/>
  </property>
  <property fmtid="{D5CDD505-2E9C-101B-9397-08002B2CF9AE}" pid="82" name="FSC#BSVTEMPL@102.1950:FileRespStreet">
    <vt:lpwstr/>
  </property>
  <property fmtid="{D5CDD505-2E9C-101B-9397-08002B2CF9AE}" pid="83" name="FSC#BSVTEMPL@102.1950:FileRespTel">
    <vt:lpwstr/>
  </property>
  <property fmtid="{D5CDD505-2E9C-101B-9397-08002B2CF9AE}" pid="84" name="FSC#BSVTEMPL@102.1950:FileRespZipCode">
    <vt:lpwstr/>
  </property>
  <property fmtid="{D5CDD505-2E9C-101B-9397-08002B2CF9AE}" pid="85" name="FSC#BSVTEMPL@102.1950:NameFileResponsible">
    <vt:lpwstr/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/>
  </property>
  <property fmtid="{D5CDD505-2E9C-101B-9397-08002B2CF9AE}" pid="89" name="FSC#BSVTEMPL@102.1950:FileResponsible">
    <vt:lpwstr/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Retrospektive Kohortenstudie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Lebensmittelbedingte Gruppenerkrankungen 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2020-01-14/152</vt:lpwstr>
  </property>
  <property fmtid="{D5CDD505-2E9C-101B-9397-08002B2CF9AE}" pid="103" name="FSC#EDICFG@15.1700:UniqueSubFileNumber">
    <vt:lpwstr>2020314-0152</vt:lpwstr>
  </property>
  <property fmtid="{D5CDD505-2E9C-101B-9397-08002B2CF9AE}" pid="104" name="FSC#BSVTEMPL@102.1950:DocumentIDEnhanced">
    <vt:lpwstr>314.3/2014/00251 14.01.2020 Doknr: 152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>Besten Dank fürs Eröffnen des Dossiers</vt:lpwstr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251</vt:lpwstr>
  </property>
  <property fmtid="{D5CDD505-2E9C-101B-9397-08002B2CF9AE}" pid="119" name="FSC#COOELAK@1.1001:FileRefOU">
    <vt:lpwstr>LME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Luethi Thomas</vt:lpwstr>
  </property>
  <property fmtid="{D5CDD505-2E9C-101B-9397-08002B2CF9AE}" pid="122" name="FSC#COOELAK@1.1001:OwnerExtension">
    <vt:lpwstr>+41 58 463 84 95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Risikobewertung, BLV</vt:lpwstr>
  </property>
  <property fmtid="{D5CDD505-2E9C-101B-9397-08002B2CF9AE}" pid="129" name="FSC#COOELAK@1.1001:CreatedAt">
    <vt:lpwstr>14.01.2020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*COO.2101.102.5.986491*</vt:lpwstr>
  </property>
  <property fmtid="{D5CDD505-2E9C-101B-9397-08002B2CF9AE}" pid="133" name="FSC#COOELAK@1.1001:RefBarCode">
    <vt:lpwstr>*COO.2101.102.7.986489*</vt:lpwstr>
  </property>
  <property fmtid="{D5CDD505-2E9C-101B-9397-08002B2CF9AE}" pid="134" name="FSC#COOELAK@1.1001:FileRefBarCode">
    <vt:lpwstr>*314.3/2014/00251*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314.3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Nathalie.Witschi@blv.admin.ch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Retrospektive Kohortenstudie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2020-01-14/152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COO.2101.102.5.986491</vt:lpwstr>
  </property>
  <property fmtid="{D5CDD505-2E9C-101B-9397-08002B2CF9AE}" pid="179" name="FSC#FSCFOLIO@1.1001:docpropproject">
    <vt:lpwstr/>
  </property>
</Properties>
</file>