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el"/>
        <w:suppressAutoHyphens/>
        <w:rPr>
          <w:sz w:val="28"/>
          <w:szCs w:val="28"/>
        </w:rPr>
      </w:pPr>
      <w:r>
        <w:rPr>
          <w:sz w:val="28"/>
        </w:rPr>
        <w:t>Mise à mort au pré : autocontrôle par le/la détenteur/</w:t>
      </w:r>
      <w:proofErr w:type="spellStart"/>
      <w:r>
        <w:rPr>
          <w:sz w:val="28"/>
        </w:rPr>
        <w:t>rice</w:t>
      </w:r>
      <w:proofErr w:type="spellEnd"/>
      <w:r>
        <w:rPr>
          <w:sz w:val="28"/>
        </w:rPr>
        <w:t xml:space="preserve"> d’animaux</w:t>
      </w:r>
    </w:p>
    <w:tbl>
      <w:tblPr>
        <w:tblStyle w:val="Tabellenraster"/>
        <w:tblW w:w="525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56"/>
        <w:gridCol w:w="2445"/>
        <w:gridCol w:w="4030"/>
      </w:tblGrid>
      <w:tr>
        <w:trPr>
          <w:trHeight w:val="273"/>
        </w:trPr>
        <w:tc>
          <w:tcPr>
            <w:tcW w:w="2100" w:type="pct"/>
            <w:gridSpan w:val="2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>Exploitation (BDTA) ____________________</w:t>
            </w:r>
          </w:p>
        </w:tc>
        <w:tc>
          <w:tcPr>
            <w:tcW w:w="2900" w:type="pct"/>
            <w:gridSpan w:val="2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>Détenteur/</w:t>
            </w:r>
            <w:proofErr w:type="spellStart"/>
            <w:r>
              <w:rPr>
                <w:sz w:val="18"/>
              </w:rPr>
              <w:t>rice</w:t>
            </w:r>
            <w:proofErr w:type="spellEnd"/>
            <w:r>
              <w:rPr>
                <w:sz w:val="18"/>
              </w:rPr>
              <w:t xml:space="preserve"> d’animaux : ____________________</w:t>
            </w:r>
          </w:p>
        </w:tc>
      </w:tr>
      <w:tr>
        <w:trPr>
          <w:trHeight w:val="273"/>
        </w:trPr>
        <w:tc>
          <w:tcPr>
            <w:tcW w:w="2100" w:type="pct"/>
            <w:gridSpan w:val="2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>Date/heure (de-à) ____________________</w:t>
            </w:r>
          </w:p>
        </w:tc>
        <w:tc>
          <w:tcPr>
            <w:tcW w:w="2900" w:type="pct"/>
            <w:gridSpan w:val="2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>Nom du VO / VT art. 5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</w:rPr>
              <w:t xml:space="preserve"> __________________________</w:t>
            </w:r>
          </w:p>
        </w:tc>
      </w:tr>
      <w:tr>
        <w:trPr>
          <w:trHeight w:val="273"/>
        </w:trPr>
        <w:tc>
          <w:tcPr>
            <w:tcW w:w="1806" w:type="pct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>Espèce : ……………………………</w:t>
            </w:r>
          </w:p>
        </w:tc>
        <w:tc>
          <w:tcPr>
            <w:tcW w:w="1389" w:type="pct"/>
            <w:gridSpan w:val="2"/>
          </w:tcPr>
          <w:p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pct"/>
          </w:tcPr>
          <w:p>
            <w:pPr>
              <w:suppressAutoHyphens/>
              <w:rPr>
                <w:sz w:val="18"/>
                <w:szCs w:val="18"/>
              </w:rPr>
            </w:pPr>
          </w:p>
        </w:tc>
      </w:tr>
      <w:tr>
        <w:trPr>
          <w:trHeight w:val="273"/>
        </w:trPr>
        <w:tc>
          <w:tcPr>
            <w:tcW w:w="1806" w:type="pct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>Identification des animaux contrôlés</w:t>
            </w:r>
          </w:p>
        </w:tc>
        <w:tc>
          <w:tcPr>
            <w:tcW w:w="1389" w:type="pct"/>
            <w:gridSpan w:val="2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1805" w:type="pct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 xml:space="preserve">2 </w:t>
            </w:r>
          </w:p>
        </w:tc>
      </w:tr>
      <w:tr>
        <w:trPr>
          <w:trHeight w:val="297"/>
        </w:trPr>
        <w:tc>
          <w:tcPr>
            <w:tcW w:w="1806" w:type="pct"/>
          </w:tcPr>
          <w:p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1805" w:type="pct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 xml:space="preserve">4. </w:t>
            </w:r>
          </w:p>
        </w:tc>
      </w:tr>
      <w:tr>
        <w:trPr>
          <w:trHeight w:val="255"/>
        </w:trPr>
        <w:tc>
          <w:tcPr>
            <w:tcW w:w="1806" w:type="pct"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>Étourdissement réalisé par ___________________</w:t>
            </w:r>
          </w:p>
        </w:tc>
        <w:tc>
          <w:tcPr>
            <w:tcW w:w="1389" w:type="pct"/>
            <w:gridSpan w:val="2"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>Saignée réalisée par ___________________</w:t>
            </w:r>
          </w:p>
        </w:tc>
        <w:tc>
          <w:tcPr>
            <w:tcW w:w="1805" w:type="pct"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(nom et prénom pour chaque opération)</w:t>
            </w:r>
          </w:p>
        </w:tc>
      </w:tr>
    </w:tbl>
    <w:p>
      <w:pPr>
        <w:tabs>
          <w:tab w:val="left" w:pos="1750"/>
          <w:tab w:val="right" w:leader="underscore" w:pos="9185"/>
        </w:tabs>
        <w:suppressAutoHyphens/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536"/>
      </w:tblGrid>
      <w:tr>
        <w:trPr>
          <w:trHeight w:val="369"/>
          <w:tblHeader/>
        </w:trPr>
        <w:tc>
          <w:tcPr>
            <w:tcW w:w="5245" w:type="dxa"/>
            <w:vAlign w:val="center"/>
          </w:tcPr>
          <w:p>
            <w:pPr>
              <w:suppressAutoHyphens/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 xml:space="preserve">Point de contrôle 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40" w:lineRule="auto"/>
              <w:ind w:right="-108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Constat</w:t>
            </w:r>
            <w:r>
              <w:rPr>
                <w:rFonts w:asciiTheme="majorHAnsi" w:hAnsiTheme="majorHAnsi" w:cstheme="majorHAnsi"/>
                <w:sz w:val="1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>
            <w:pPr>
              <w:suppressAutoHyphens/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Remarque / Mesures</w:t>
            </w:r>
          </w:p>
        </w:tc>
      </w:tr>
      <w:tr>
        <w:trPr>
          <w:trHeight w:val="361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Préparation de la mise à mort au pré</w:t>
            </w: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u w:val="single"/>
              </w:rPr>
              <w:t>Documentation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Annonces nécessaires faites, personnel/prestataires contactés et intervention confirmée ? (compléter qui :……..).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 xml:space="preserve">Document d’accompagnement rempli de manière correcte/exhaustive ; 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Formulaire de contrôle des animaux avant l’abattage rempli par le VO disponible et en ordre ;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Provenance des animaux correctement attestée (extrait de la BDTA disponible).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Si nécessaire, certificat vétérinaire disponible et en ordre.</w:t>
            </w:r>
          </w:p>
          <w:p>
            <w:pPr>
              <w:pStyle w:val="Listenabsatz"/>
              <w:suppressAutoHyphens/>
              <w:spacing w:after="0" w:line="20" w:lineRule="atLeast"/>
              <w:ind w:left="17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2092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u w:val="single"/>
              </w:rPr>
              <w:t>Préparation de l’infrastructure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Zone de tir préparée, propre et en ordre.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Si nécessaire, panneaux d’avertissement / clôtures mis en place ?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Appareils, véhicule et remorque de transport, etc. tous propres et contrôlés, disponibles et bien positionnés.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Fusil prêt à l’emploi, contrôlé, munition correcte, munition de rechange.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Bon fonctionnement contrôlé.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Appareil de rechange pour un nouvel étourdissement, réalisé en plaçant l’appareil sur le crâne de l’animal, munition correcte, 2</w:t>
            </w:r>
            <w:r>
              <w:rPr>
                <w:rFonts w:asciiTheme="majorHAnsi" w:eastAsia="Times New Roman" w:hAnsiTheme="majorHAnsi" w:cstheme="majorHAnsi"/>
                <w:sz w:val="18"/>
                <w:vertAlign w:val="superscript"/>
              </w:rPr>
              <w:t>e</w:t>
            </w:r>
            <w:r>
              <w:rPr>
                <w:rFonts w:asciiTheme="majorHAnsi" w:eastAsia="Times New Roman" w:hAnsiTheme="majorHAnsi" w:cstheme="majorHAnsi"/>
                <w:sz w:val="18"/>
              </w:rPr>
              <w:t> personne à proximité), prêt à l’emploi.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Présence d’au moins 2 personnes sur place (une personne qualifiée et un/e auxiliaire).</w:t>
            </w:r>
          </w:p>
          <w:p>
            <w:pPr>
              <w:pStyle w:val="Listenabsatz"/>
              <w:suppressAutoHyphens/>
              <w:spacing w:after="0" w:line="20" w:lineRule="atLeast"/>
              <w:ind w:left="17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365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 xml:space="preserve">Tir / étourdissement, saignée, chargement, transport </w:t>
            </w:r>
          </w:p>
        </w:tc>
      </w:tr>
      <w:tr>
        <w:trPr>
          <w:trHeight w:val="365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>Animal habitué au tir, infrastructure permettant de séparer rapidement l’animal du troupeau après le tir.</w:t>
            </w:r>
          </w:p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277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>Étourdissement réalisé de manière efficace.</w:t>
            </w:r>
          </w:p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495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>L’efficacité de l’étourdissement est vérifiée.</w:t>
            </w:r>
          </w:p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Mesures appropriées en cas d’étourdissement insuffisant. 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lastRenderedPageBreak/>
              <w:t>Après le tir à balle ou de pistolet à tige perforante, l’animal doit être saigné sans retard.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836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>Hygiène de l’incision de saignée respectée.</w:t>
            </w:r>
          </w:p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>(la technique à 1 couteau est tolérée).</w:t>
            </w:r>
          </w:p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 xml:space="preserve"> </w:t>
            </w:r>
          </w:p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>Emplacement correct de l’incision de saignée, le sang s’écoule en jets (l’œsophage et la trachée restent intacts) ;</w:t>
            </w:r>
          </w:p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 xml:space="preserve"> </w:t>
            </w:r>
          </w:p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>Le sang de la saignée est recueilli et transporté avec le corps de l’animal.</w:t>
            </w:r>
          </w:p>
          <w:p>
            <w:pPr>
              <w:pStyle w:val="Listenabsatz"/>
              <w:suppressAutoHyphens/>
              <w:spacing w:after="0" w:line="20" w:lineRule="atLeast"/>
              <w:ind w:left="1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>La saignée et la mort effective sont vérifiées.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958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>Uniquement avec le véhicule / la remorque mentionnés dans l’autorisation.</w:t>
            </w:r>
          </w:p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>Remorque utilisée exclusivement pour la mise à mort au pré (aucune denrée alimentaire ni aliment pour animaux en vrac, aucun animal vivant).</w:t>
            </w:r>
          </w:p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>Le véhicule / la remorque est propre avant le chargement.</w:t>
            </w:r>
          </w:p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>Le véhicule / la remorque est étanche après le chargement, aucun écoulement de sang ni de déjections. Les corps des animaux étourdis et mis à mort sont recouverts. L’extérieur du véhicule / de la remorque est propre au moment du départ.</w:t>
            </w:r>
          </w:p>
          <w:p>
            <w:pPr>
              <w:pStyle w:val="Listenabsatz"/>
              <w:suppressAutoHyphens/>
              <w:spacing w:after="0" w:line="20" w:lineRule="atLeast"/>
              <w:ind w:left="17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619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>L’éviscération doit être effectuée dans les 45 minutes qui suivent l’étourdissement.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349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suppressAutoHyphens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 xml:space="preserve">Documentation des heures </w:t>
            </w:r>
          </w:p>
        </w:tc>
      </w:tr>
      <w:tr>
        <w:trPr>
          <w:trHeight w:val="134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Heure du tir / de l’étourdissement / </w:t>
            </w:r>
            <w:r>
              <w:rPr>
                <w:rFonts w:asciiTheme="majorHAnsi" w:hAnsiTheme="majorHAnsi" w:cstheme="majorHAnsi"/>
                <w:b/>
                <w:sz w:val="18"/>
              </w:rPr>
              <w:t>visa de la personne étourdit l’animal</w:t>
            </w:r>
          </w:p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hRule="exact" w:val="785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Heure de la saignée / </w:t>
            </w:r>
            <w:r>
              <w:rPr>
                <w:rFonts w:asciiTheme="majorHAnsi" w:hAnsiTheme="majorHAnsi" w:cstheme="majorHAnsi"/>
                <w:b/>
                <w:sz w:val="18"/>
              </w:rPr>
              <w:t>visa de la personne qui saigne l’animal</w:t>
            </w:r>
          </w:p>
          <w:p>
            <w:pPr>
              <w:suppressAutoHyphens/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538"/>
        </w:trPr>
        <w:tc>
          <w:tcPr>
            <w:tcW w:w="5245" w:type="dxa"/>
          </w:tcPr>
          <w:p>
            <w:pPr>
              <w:pStyle w:val="Listenabsatz"/>
              <w:suppressAutoHyphens/>
              <w:spacing w:after="0" w:line="20" w:lineRule="atLeast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>Report de l’heure du tir, de la saignée et du début du transport sur le document d’accompagnement /</w:t>
            </w:r>
            <w:r>
              <w:rPr>
                <w:rFonts w:asciiTheme="majorHAnsi" w:hAnsiTheme="majorHAnsi" w:cstheme="majorHAnsi"/>
                <w:sz w:val="18"/>
              </w:rPr>
              <w:t xml:space="preserve"> </w:t>
            </w:r>
          </w:p>
          <w:p>
            <w:pPr>
              <w:pStyle w:val="Listenabsatz"/>
              <w:suppressAutoHyphens/>
              <w:spacing w:after="0" w:line="20" w:lineRule="atLea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visa du/de la détenteur/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</w:rPr>
              <w:t>rice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</w:rPr>
              <w:t xml:space="preserve"> d’animaux</w:t>
            </w:r>
          </w:p>
          <w:p>
            <w:pPr>
              <w:pStyle w:val="Listenabsatz"/>
              <w:suppressAutoHyphens/>
              <w:spacing w:after="0" w:line="20" w:lineRule="atLeast"/>
              <w:ind w:left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477"/>
        </w:trPr>
        <w:tc>
          <w:tcPr>
            <w:tcW w:w="5245" w:type="dxa"/>
          </w:tcPr>
          <w:p>
            <w:pPr>
              <w:pStyle w:val="Listenabsatz"/>
              <w:suppressAutoHyphens/>
              <w:spacing w:after="0" w:line="20" w:lineRule="atLeast"/>
              <w:ind w:left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 xml:space="preserve">Retour d’information de l’abattoir : le laps de temps de 45 minutes était-il suffisant pour éviscérer l’animal ? 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b/>
                <w:color w:val="000000"/>
                <w:sz w:val="18"/>
              </w:rPr>
              <w:t>oui</w:t>
            </w:r>
            <w:proofErr w:type="gramEnd"/>
            <w:r>
              <w:rPr>
                <w:rFonts w:asciiTheme="majorHAnsi" w:hAnsiTheme="majorHAnsi" w:cstheme="majorHAnsi"/>
                <w:b/>
                <w:color w:val="000000"/>
                <w:sz w:val="18"/>
              </w:rPr>
              <w:t>/non / à remplir par le/la détenteur/</w:t>
            </w:r>
            <w:proofErr w:type="spellStart"/>
            <w:r>
              <w:rPr>
                <w:rFonts w:asciiTheme="majorHAnsi" w:hAnsiTheme="majorHAnsi" w:cstheme="majorHAnsi"/>
                <w:b/>
                <w:color w:val="000000"/>
                <w:sz w:val="18"/>
              </w:rPr>
              <w:t>rice</w:t>
            </w:r>
            <w:proofErr w:type="spellEnd"/>
            <w:r>
              <w:rPr>
                <w:rFonts w:asciiTheme="majorHAnsi" w:hAnsiTheme="majorHAnsi" w:cstheme="majorHAnsi"/>
                <w:b/>
                <w:color w:val="000000"/>
                <w:sz w:val="18"/>
              </w:rPr>
              <w:t xml:space="preserve"> d’animaux)</w:t>
            </w:r>
          </w:p>
          <w:p>
            <w:pPr>
              <w:pStyle w:val="Listenabsatz"/>
              <w:suppressAutoHyphens/>
              <w:spacing w:after="0" w:line="20" w:lineRule="atLeast"/>
              <w:ind w:left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>
      <w:pPr>
        <w:suppressAutoHyphens/>
        <w:spacing w:before="120" w:after="120" w:line="240" w:lineRule="auto"/>
        <w:jc w:val="both"/>
        <w:rPr>
          <w:sz w:val="16"/>
          <w:szCs w:val="16"/>
        </w:rPr>
      </w:pPr>
      <w:r>
        <w:rPr>
          <w:rFonts w:cs="Arial"/>
          <w:color w:val="000000"/>
          <w:sz w:val="16"/>
        </w:rPr>
        <w:t>Constats :</w:t>
      </w:r>
      <w:r>
        <w:rPr>
          <w:rFonts w:ascii="Wingdings" w:hAnsi="Wingdings" w:cs="Arial"/>
          <w:color w:val="000000"/>
          <w:sz w:val="18"/>
        </w:rPr>
        <w:t></w:t>
      </w:r>
      <w:r>
        <w:rPr>
          <w:rFonts w:cs="Arial"/>
          <w:color w:val="000000"/>
          <w:sz w:val="16"/>
        </w:rPr>
        <w:t xml:space="preserve"> = remplie           </w:t>
      </w:r>
      <w:r>
        <w:rPr>
          <w:rFonts w:cs="Arial"/>
          <w:color w:val="000000"/>
          <w:sz w:val="18"/>
        </w:rPr>
        <w:t xml:space="preserve">O </w:t>
      </w:r>
      <w:r>
        <w:rPr>
          <w:rFonts w:cs="Arial"/>
          <w:color w:val="000000"/>
          <w:sz w:val="16"/>
        </w:rPr>
        <w:t xml:space="preserve">= non rempli, </w:t>
      </w:r>
      <w:r>
        <w:rPr>
          <w:rFonts w:cs="Arial"/>
          <w:b/>
          <w:color w:val="000000"/>
          <w:sz w:val="16"/>
        </w:rPr>
        <w:t>/</w:t>
      </w:r>
      <w:r>
        <w:rPr>
          <w:rFonts w:cs="Arial"/>
          <w:color w:val="000000"/>
          <w:sz w:val="16"/>
        </w:rPr>
        <w:t xml:space="preserve"> = non applicable</w:t>
      </w:r>
      <w:r>
        <w:rPr>
          <w:rFonts w:cs="Arial"/>
          <w:color w:val="000000"/>
          <w:sz w:val="16"/>
        </w:rPr>
        <w:tab/>
        <w:t xml:space="preserve">nc = non contrôlé                                                   </w:t>
      </w:r>
      <w:r>
        <w:rPr>
          <w:sz w:val="16"/>
        </w:rPr>
        <w:t>Version 01.09.2022/zid/jap</w:t>
      </w:r>
    </w:p>
    <w:p>
      <w:pPr>
        <w:suppressAutoHyphens/>
        <w:spacing w:after="200" w:line="240" w:lineRule="auto"/>
        <w:rPr>
          <w:sz w:val="16"/>
          <w:szCs w:val="16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3" w:right="707" w:bottom="284" w:left="567" w:header="18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111486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Cs w:val="16"/>
          </w:rPr>
          <w:id w:val="-2020152438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  <w:rPr>
                <w:szCs w:val="16"/>
              </w:rPr>
            </w:pPr>
            <w:r>
              <w:t>Page 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PAGE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NUMPAGES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>
    <w:pPr>
      <w:pStyle w:val="Fuzeile"/>
      <w:tabs>
        <w:tab w:val="clear" w:pos="4536"/>
        <w:tab w:val="clear" w:pos="9072"/>
      </w:tabs>
      <w:spacing w:line="240" w:lineRule="auto"/>
      <w:contextualSpacing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3317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</w:pPr>
            <w:r>
              <w:t>Page 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PAGE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1</w:t>
            </w:r>
            <w:r>
              <w:rPr>
                <w:b/>
                <w:bCs/>
                <w:szCs w:val="16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NUMPAGES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id="1">
    <w:p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Art. 5 de l'ordonnance concernant la formation de base, la formation qualifiante et la formation continue des personnes travaillant dans le secteur vétérinaire public et art. 52 OAbCV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spacing w:line="240" w:lineRule="auto"/>
      <w:jc w:val="right"/>
      <w:rPr>
        <w:i/>
      </w:rPr>
    </w:pPr>
    <w:r>
      <w:rPr>
        <w:rFonts w:cs="Arial"/>
        <w:noProof/>
      </w:rPr>
      <w:drawing>
        <wp:inline distT="0" distB="0" distL="0" distR="0">
          <wp:extent cx="2971800" cy="673100"/>
          <wp:effectExtent l="0" t="0" r="0" b="0"/>
          <wp:docPr id="1" name="Grafik 1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spacing w:line="240" w:lineRule="auto"/>
      <w:rPr>
        <w:i/>
      </w:rPr>
    </w:pPr>
  </w:p>
  <w:p>
    <w:pPr>
      <w:pStyle w:val="Kopfzeile"/>
      <w:spacing w:line="240" w:lineRule="auto"/>
      <w:rPr>
        <w:i/>
      </w:rPr>
    </w:pPr>
    <w:r>
      <w:rPr>
        <w:i/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Adapter le modèle à la situation concrète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63EE"/>
    <w:multiLevelType w:val="multilevel"/>
    <w:tmpl w:val="1F9A9AD0"/>
    <w:numStyleLink w:val="ListeNummernAltN"/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6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F07ED"/>
    <w:multiLevelType w:val="hybridMultilevel"/>
    <w:tmpl w:val="6DFE0BCC"/>
    <w:lvl w:ilvl="0" w:tplc="CFB8504A">
      <w:numFmt w:val="bullet"/>
      <w:lvlText w:val="-"/>
      <w:lvlJc w:val="left"/>
      <w:pPr>
        <w:ind w:left="89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67E053F1"/>
    <w:multiLevelType w:val="multilevel"/>
    <w:tmpl w:val="FA60DFCA"/>
    <w:numStyleLink w:val="ListeAufzhlungAltX"/>
  </w:abstractNum>
  <w:abstractNum w:abstractNumId="15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17"/>
  </w:num>
  <w:num w:numId="10">
    <w:abstractNumId w:val="0"/>
  </w:num>
  <w:num w:numId="11">
    <w:abstractNumId w:val="4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9"/>
  </w:num>
  <w:num w:numId="18">
    <w:abstractNumId w:val="5"/>
  </w:num>
  <w:num w:numId="19">
    <w:abstractNumId w:val="11"/>
  </w:num>
  <w:num w:numId="20">
    <w:abstractNumId w:val="7"/>
  </w:num>
  <w:num w:numId="21">
    <w:abstractNumId w:val="1"/>
  </w:num>
  <w:num w:numId="22">
    <w:abstractNumId w:val="14"/>
  </w:num>
  <w:num w:numId="23">
    <w:abstractNumId w:val="10"/>
  </w:num>
  <w:num w:numId="24">
    <w:abstractNumId w:val="12"/>
  </w:num>
  <w:num w:numId="25">
    <w:abstractNumId w:val="8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Pr>
      <w:b/>
    </w:rPr>
  </w:style>
  <w:style w:type="paragraph" w:customStyle="1" w:styleId="Aufzhlung">
    <w:name w:val="Aufzählung"/>
    <w:basedOn w:val="Standard"/>
    <w:uiPriority w:val="2"/>
    <w:qFormat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customStyle="1" w:styleId="KantonListe">
    <w:name w:val="Kanton_Liste"/>
    <w:uiPriority w:val="99"/>
  </w:style>
  <w:style w:type="table" w:styleId="Tabellenraster">
    <w:name w:val="Table Grid"/>
    <w:basedOn w:val="NormaleTabelle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hAnsi="Arial"/>
    </w:rPr>
  </w:style>
  <w:style w:type="paragraph" w:customStyle="1" w:styleId="KopfAmt9pt">
    <w:name w:val="Kopf Amt 9pt"/>
    <w:basedOn w:val="Standar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Pr>
      <w:sz w:val="16"/>
    </w:rPr>
  </w:style>
  <w:style w:type="paragraph" w:customStyle="1" w:styleId="KopfDirektion9ptFett">
    <w:name w:val="Kopf Direktion 9pt Fett"/>
    <w:basedOn w:val="Standar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Pr>
      <w:b/>
    </w:rPr>
  </w:style>
  <w:style w:type="numbering" w:customStyle="1" w:styleId="ListeAufzhlungAltX">
    <w:name w:val="Liste Aufzählung (Alt+X)"/>
    <w:uiPriority w:val="99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pPr>
      <w:numPr>
        <w:numId w:val="19"/>
      </w:numPr>
    </w:pPr>
  </w:style>
  <w:style w:type="numbering" w:customStyle="1" w:styleId="ListeNummernAltN">
    <w:name w:val="Liste Nummern (Alt+N)"/>
    <w:uiPriority w:val="99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64976344-B473-4AB1-99A0-92800495C2DB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Zweifel Claudio BLV</cp:lastModifiedBy>
  <cp:revision>2</cp:revision>
  <cp:lastPrinted>2020-08-13T12:13:00Z</cp:lastPrinted>
  <dcterms:created xsi:type="dcterms:W3CDTF">2022-11-16T16:18:00Z</dcterms:created>
  <dcterms:modified xsi:type="dcterms:W3CDTF">2022-11-16T16:18:00Z</dcterms:modified>
</cp:coreProperties>
</file>