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D1F9" w14:textId="77777777" w:rsidR="00D64940" w:rsidRPr="00C16DFA" w:rsidRDefault="00F804BB" w:rsidP="00D64940">
      <w:pPr>
        <w:pStyle w:val="Titre"/>
        <w:rPr>
          <w:rFonts w:ascii="Arial" w:hAnsi="Arial" w:cs="Arial"/>
          <w:b/>
          <w:sz w:val="40"/>
        </w:rPr>
      </w:pPr>
      <w:bookmarkStart w:id="0" w:name="_GoBack"/>
      <w:bookmarkEnd w:id="0"/>
      <w:r w:rsidRPr="00C16DFA">
        <w:rPr>
          <w:rFonts w:ascii="Arial" w:hAnsi="Arial" w:cs="Arial"/>
          <w:b/>
          <w:sz w:val="40"/>
        </w:rPr>
        <w:t>Fall-Kontroll Studie</w:t>
      </w:r>
    </w:p>
    <w:p w14:paraId="58374141" w14:textId="77777777" w:rsidR="00D64940" w:rsidRDefault="00D64940" w:rsidP="00D64940">
      <w:pPr>
        <w:spacing w:line="240" w:lineRule="auto"/>
      </w:pPr>
    </w:p>
    <w:p w14:paraId="5ACF47EF" w14:textId="77777777" w:rsidR="00453925" w:rsidRPr="00453925" w:rsidRDefault="00453925" w:rsidP="00D64940">
      <w:pPr>
        <w:spacing w:line="240" w:lineRule="auto"/>
        <w:rPr>
          <w:b/>
        </w:rPr>
      </w:pPr>
      <w:r w:rsidRPr="00453925">
        <w:rPr>
          <w:b/>
        </w:rPr>
        <w:t>Stand: Februar 2020</w:t>
      </w:r>
    </w:p>
    <w:p w14:paraId="5D077630" w14:textId="77777777" w:rsidR="00453925" w:rsidRDefault="00453925" w:rsidP="00D64940">
      <w:pPr>
        <w:spacing w:line="240" w:lineRule="auto"/>
      </w:pPr>
    </w:p>
    <w:p w14:paraId="024DEB87" w14:textId="77777777" w:rsidR="00F804BB" w:rsidRDefault="00D64940" w:rsidP="00F804BB">
      <w:pPr>
        <w:spacing w:line="240" w:lineRule="auto"/>
      </w:pPr>
      <w:r w:rsidRPr="00F804BB">
        <w:rPr>
          <w:b/>
        </w:rPr>
        <w:t>Anwendung</w:t>
      </w:r>
      <w:r>
        <w:t>: Bei Ausbrüchen, mit einer unbegrenzten, offenen Anzahl exponierter Personen.</w:t>
      </w:r>
    </w:p>
    <w:p w14:paraId="02515697" w14:textId="77777777" w:rsidR="00D64940" w:rsidRDefault="00D64940" w:rsidP="00F804BB">
      <w:pPr>
        <w:spacing w:line="240" w:lineRule="auto"/>
      </w:pPr>
      <w:r>
        <w:t>Die Kohorte ist zu gross, zu offen, als dass alle Personen befragt werden könnten. Die Anwendung der Fall-Kontrollstudie ist anspruchsvoller als die retrospektive Kohortenstudie, da bei diesem Studiendesign Kontrollen zu rekrutieren sind.</w:t>
      </w:r>
    </w:p>
    <w:p w14:paraId="05738959" w14:textId="77777777" w:rsidR="00F804BB" w:rsidRDefault="00F804BB" w:rsidP="00F804BB">
      <w:pPr>
        <w:spacing w:line="240" w:lineRule="auto"/>
      </w:pPr>
    </w:p>
    <w:p w14:paraId="3C68BF12" w14:textId="77777777" w:rsidR="00D64940" w:rsidRDefault="00D64940" w:rsidP="00F804BB">
      <w:pPr>
        <w:spacing w:line="240" w:lineRule="auto"/>
      </w:pPr>
      <w:r>
        <w:t>Die Kontrollen sind so zu rekrutieren, dass sie sich idealerweise von Fällen nur durch den Umstand unterscheiden, dass sie nicht die gleiche Erkrankung aufweisen wie die Fälle. Sie sind also in Bezug auf Alter, Geschlecht, sozialer Klasse, etc. gleich wie die Erkrankten und hät</w:t>
      </w:r>
      <w:r w:rsidR="00F804BB">
        <w:t>ten ebenfalls erkranken können.</w:t>
      </w:r>
    </w:p>
    <w:p w14:paraId="1976DA0A" w14:textId="77777777" w:rsidR="00F804BB" w:rsidRDefault="00F804BB" w:rsidP="00F804BB">
      <w:pPr>
        <w:spacing w:line="240" w:lineRule="auto"/>
      </w:pPr>
    </w:p>
    <w:p w14:paraId="7F977CB5" w14:textId="77777777" w:rsidR="00D64940" w:rsidRDefault="00D64940" w:rsidP="00F804BB">
      <w:pPr>
        <w:spacing w:line="240" w:lineRule="auto"/>
      </w:pPr>
      <w:r>
        <w:t>Je Fall sind bis zu 4 Kontrollen zuzuordnen. Es empfiehlt sich ein Fall-Kontrollverhältnis von 1: 2; das heisst für jeden Fall sollten mindestens 2 Kontrolle</w:t>
      </w:r>
      <w:r w:rsidR="00F804BB">
        <w:t>n vorliegen und befragt werden.</w:t>
      </w:r>
    </w:p>
    <w:p w14:paraId="71982C1A" w14:textId="77777777" w:rsidR="00D64940" w:rsidRDefault="00D64940" w:rsidP="00F804BB">
      <w:pPr>
        <w:spacing w:line="240" w:lineRule="auto"/>
      </w:pPr>
    </w:p>
    <w:p w14:paraId="75E0E77D" w14:textId="77777777" w:rsidR="00D64940" w:rsidRDefault="00D64940" w:rsidP="00F804BB">
      <w:pPr>
        <w:spacing w:line="240" w:lineRule="auto"/>
      </w:pPr>
      <w:r w:rsidRPr="00F804BB">
        <w:rPr>
          <w:b/>
        </w:rPr>
        <w:t>Durchführung</w:t>
      </w:r>
      <w:r>
        <w:t>: Rekrutierung geeigneter Kontrollen. Diese findet man unter der allgemeinen Bevölkerung, unter Familien, Freunden, Kollegen etc.</w:t>
      </w:r>
    </w:p>
    <w:p w14:paraId="501DA4F7" w14:textId="77777777" w:rsidR="00F804BB" w:rsidRDefault="00F804BB" w:rsidP="00F804BB">
      <w:pPr>
        <w:spacing w:line="240" w:lineRule="auto"/>
      </w:pPr>
    </w:p>
    <w:p w14:paraId="1C4E69A1" w14:textId="77777777" w:rsidR="00D64940" w:rsidRDefault="00D64940" w:rsidP="00F804BB">
      <w:pPr>
        <w:spacing w:line="240" w:lineRule="auto"/>
      </w:pPr>
      <w:r>
        <w:t>Befragung der Erkrankten und Kontrollen betreffend die verzehrten Lebensmittel / Speisen und deren Auswir</w:t>
      </w:r>
      <w:r w:rsidR="00BE7521">
        <w:t>kungen auf die Gesundheit (Abb.1</w:t>
      </w:r>
      <w:r>
        <w:t xml:space="preserve">). Die Ergebnisse werden idealerweise in einer 2 x 2 Tafel festgehalten und die Assoziation Krankheit/verzehrte </w:t>
      </w:r>
      <w:r w:rsidR="00F804BB">
        <w:t>Speise anschliessend berechnet.</w:t>
      </w:r>
    </w:p>
    <w:p w14:paraId="07370D6C" w14:textId="77777777" w:rsidR="00D64940" w:rsidRDefault="00D64940" w:rsidP="00F804BB">
      <w:pPr>
        <w:spacing w:line="240" w:lineRule="auto"/>
      </w:pPr>
    </w:p>
    <w:p w14:paraId="660AAA18" w14:textId="77777777" w:rsidR="00D64940" w:rsidRDefault="006E0732" w:rsidP="00D64940">
      <w:pPr>
        <w:spacing w:line="240" w:lineRule="auto"/>
      </w:pPr>
      <w:r>
        <w:rPr>
          <w:noProof/>
          <w:lang w:val="fr-CH" w:eastAsia="fr-CH"/>
        </w:rPr>
        <w:drawing>
          <wp:inline distT="0" distB="0" distL="0" distR="0" wp14:anchorId="3EAFEDAA" wp14:editId="7E3D7549">
            <wp:extent cx="5760085" cy="15722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1572260"/>
                    </a:xfrm>
                    <a:prstGeom prst="rect">
                      <a:avLst/>
                    </a:prstGeom>
                  </pic:spPr>
                </pic:pic>
              </a:graphicData>
            </a:graphic>
          </wp:inline>
        </w:drawing>
      </w:r>
    </w:p>
    <w:p w14:paraId="422C4DF5" w14:textId="77777777" w:rsidR="00F804BB" w:rsidRDefault="00F804BB" w:rsidP="00D64940">
      <w:pPr>
        <w:spacing w:line="240" w:lineRule="auto"/>
        <w:rPr>
          <w:b/>
        </w:rPr>
      </w:pPr>
    </w:p>
    <w:p w14:paraId="38B797C8" w14:textId="77777777" w:rsidR="00D64940" w:rsidRDefault="00D64940" w:rsidP="00D64940">
      <w:pPr>
        <w:spacing w:line="240" w:lineRule="auto"/>
      </w:pPr>
      <w:r w:rsidRPr="006E0732">
        <w:rPr>
          <w:b/>
        </w:rPr>
        <w:t>Abb.</w:t>
      </w:r>
      <w:r w:rsidR="006E0732" w:rsidRPr="006E0732">
        <w:rPr>
          <w:b/>
        </w:rPr>
        <w:t>1</w:t>
      </w:r>
      <w:r>
        <w:t xml:space="preserve"> Konzeption der Fall Kontrollstudie </w:t>
      </w:r>
      <w:r w:rsidR="006E0732">
        <w:tab/>
      </w:r>
      <w:r w:rsidR="006E0732">
        <w:tab/>
      </w:r>
      <w:r w:rsidR="006E0732">
        <w:tab/>
      </w:r>
      <w:r w:rsidR="006E0732">
        <w:tab/>
      </w:r>
      <w:r w:rsidR="006E0732">
        <w:tab/>
      </w:r>
      <w:r w:rsidR="006E0732">
        <w:tab/>
      </w:r>
      <w:r w:rsidRPr="006E0732">
        <w:rPr>
          <w:sz w:val="16"/>
        </w:rPr>
        <w:t xml:space="preserve">Bild </w:t>
      </w:r>
      <w:r w:rsidRPr="006E0732">
        <w:rPr>
          <w:rFonts w:cs="Arial"/>
          <w:sz w:val="16"/>
        </w:rPr>
        <w:t>©</w:t>
      </w:r>
      <w:r w:rsidR="006E0732" w:rsidRPr="006E0732">
        <w:rPr>
          <w:sz w:val="16"/>
        </w:rPr>
        <w:t>pixaby</w:t>
      </w:r>
    </w:p>
    <w:p w14:paraId="76469D15" w14:textId="77777777" w:rsidR="00D64940" w:rsidRDefault="006E0732" w:rsidP="00D64940">
      <w:pPr>
        <w:spacing w:line="240" w:lineRule="auto"/>
      </w:pPr>
      <w:r>
        <w:t>Man beachte, dass die Darstellung der Exposition und der Fälle/Kontrolle variieren kann, je nach Publikation!</w:t>
      </w:r>
    </w:p>
    <w:p w14:paraId="0E052F22" w14:textId="77777777" w:rsidR="006E0732" w:rsidRDefault="006E0732" w:rsidP="00D64940">
      <w:pPr>
        <w:spacing w:line="240" w:lineRule="auto"/>
      </w:pPr>
    </w:p>
    <w:p w14:paraId="77EDF29B" w14:textId="77777777" w:rsidR="00D64940" w:rsidRDefault="00D64940" w:rsidP="006E0732">
      <w:pPr>
        <w:spacing w:line="240" w:lineRule="auto"/>
      </w:pPr>
      <w:r w:rsidRPr="006E0732">
        <w:rPr>
          <w:b/>
        </w:rPr>
        <w:t>Analyse</w:t>
      </w:r>
      <w:r>
        <w:t>: Für jede Exposition (Lebensmittel) wird der Anteil, der unter den Fällen bzw. Kontrollen erkrankten ermittelt, die Odds Ratio (Chancenverhältnis) berechnet und die Konfidenzintervalle bestimmt.</w:t>
      </w:r>
    </w:p>
    <w:p w14:paraId="7E811A8B" w14:textId="77777777" w:rsidR="00D64940" w:rsidRDefault="00D64940" w:rsidP="00D64940">
      <w:pPr>
        <w:spacing w:line="240" w:lineRule="auto"/>
      </w:pPr>
    </w:p>
    <w:p w14:paraId="39E4389D" w14:textId="77777777" w:rsidR="00D64940" w:rsidRPr="006E0732" w:rsidRDefault="00D64940" w:rsidP="00D64940">
      <w:pPr>
        <w:spacing w:line="240" w:lineRule="auto"/>
        <w:rPr>
          <w:b/>
        </w:rPr>
      </w:pPr>
      <w:r w:rsidRPr="006E0732">
        <w:rPr>
          <w:b/>
        </w:rPr>
        <w:t>Interpretation der Ergebnisse</w:t>
      </w:r>
    </w:p>
    <w:p w14:paraId="035CAB17" w14:textId="10C91B1E" w:rsidR="00D64940" w:rsidRDefault="00D64940" w:rsidP="00D64940">
      <w:pPr>
        <w:pStyle w:val="Paragraphedeliste"/>
        <w:numPr>
          <w:ilvl w:val="0"/>
          <w:numId w:val="2"/>
        </w:numPr>
        <w:spacing w:line="240" w:lineRule="auto"/>
      </w:pPr>
      <w:r>
        <w:t>Eine Odds Ratio (Chancenverhältnis) grösser 1 bedeutet, dass der untersuchte Faktor (z.B. ein Menübestandteil, ein Lebensmittel) ein Risikofaktor sein könnte.</w:t>
      </w:r>
    </w:p>
    <w:p w14:paraId="151C52D9" w14:textId="77777777" w:rsidR="00D64940" w:rsidRDefault="00D64940" w:rsidP="00D64940">
      <w:pPr>
        <w:pStyle w:val="Paragraphedeliste"/>
        <w:numPr>
          <w:ilvl w:val="0"/>
          <w:numId w:val="2"/>
        </w:numPr>
        <w:spacing w:line="240" w:lineRule="auto"/>
      </w:pPr>
      <w:r>
        <w:t>Eine Odds Ratio (Chancenverhältnis) von 1 bedeutet, dass der untersuchte Faktor (z.B. ein Menübestandteil, ein Lebensmittel) und die Erkrankung keine Assoziation aufweisen.</w:t>
      </w:r>
    </w:p>
    <w:p w14:paraId="7AA2F8DD" w14:textId="0E221921" w:rsidR="00D64940" w:rsidRDefault="00D64940" w:rsidP="00D64940">
      <w:pPr>
        <w:pStyle w:val="Paragraphedeliste"/>
        <w:numPr>
          <w:ilvl w:val="0"/>
          <w:numId w:val="2"/>
        </w:numPr>
        <w:spacing w:line="240" w:lineRule="auto"/>
      </w:pPr>
      <w:r>
        <w:t>Eine Odds Ratio (Chancenverhältnis) kleiner 1 bedeutet, dass der untersuchte Faktor (z.B. ein Menübestandteil, ein Lebensmittel) eine protektive Wirkung hat. (oder anders ausgedrückt, wer diesen Menübestandteil gegessen hat, hat wahrscheinlich auf den Risikofaktor verzichtet).</w:t>
      </w:r>
    </w:p>
    <w:p w14:paraId="593232AA" w14:textId="77777777" w:rsidR="00D64940" w:rsidRDefault="00D64940" w:rsidP="00D64940">
      <w:pPr>
        <w:spacing w:line="240" w:lineRule="auto"/>
      </w:pPr>
    </w:p>
    <w:p w14:paraId="75CE91AD" w14:textId="77777777" w:rsidR="00D64940" w:rsidRDefault="00D64940" w:rsidP="00D64940">
      <w:pPr>
        <w:spacing w:line="240" w:lineRule="auto"/>
      </w:pPr>
      <w:r>
        <w:t>Bei der Interpretation der Ergebnisse ist das Vertrauensintervall (dieses beinhaltet d</w:t>
      </w:r>
      <w:r w:rsidR="00F804BB">
        <w:t>ie 1 nicht) zu berücksichtigen.</w:t>
      </w:r>
    </w:p>
    <w:p w14:paraId="10B78599" w14:textId="77777777" w:rsidR="004B3A7A" w:rsidRDefault="00F804BB" w:rsidP="00695493">
      <w:pPr>
        <w:rPr>
          <w:b/>
          <w:sz w:val="28"/>
        </w:rPr>
      </w:pPr>
      <w:r>
        <w:rPr>
          <w:b/>
          <w:sz w:val="28"/>
        </w:rPr>
        <w:lastRenderedPageBreak/>
        <w:t>Berechnungsbeispiel</w:t>
      </w:r>
    </w:p>
    <w:p w14:paraId="6B8CF9D9" w14:textId="77777777" w:rsidR="00F804BB" w:rsidRPr="00F804BB" w:rsidRDefault="00F804BB" w:rsidP="00695493">
      <w:pPr>
        <w:rPr>
          <w:b/>
        </w:rPr>
      </w:pPr>
    </w:p>
    <w:p w14:paraId="1A59EDAC" w14:textId="77777777" w:rsidR="004B3A7A" w:rsidRDefault="00BF08EA" w:rsidP="00695493">
      <w:r>
        <w:rPr>
          <w:noProof/>
          <w:lang w:val="fr-CH" w:eastAsia="fr-CH"/>
        </w:rPr>
        <w:drawing>
          <wp:inline distT="0" distB="0" distL="0" distR="0" wp14:anchorId="16C96C41" wp14:editId="484AC178">
            <wp:extent cx="4543425" cy="34290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3425" cy="3429000"/>
                    </a:xfrm>
                    <a:prstGeom prst="rect">
                      <a:avLst/>
                    </a:prstGeom>
                  </pic:spPr>
                </pic:pic>
              </a:graphicData>
            </a:graphic>
          </wp:inline>
        </w:drawing>
      </w:r>
    </w:p>
    <w:p w14:paraId="06FFB26F" w14:textId="77777777" w:rsidR="004B3A7A" w:rsidRDefault="006E0732" w:rsidP="00695493">
      <w:r w:rsidRPr="006E0732">
        <w:rPr>
          <w:b/>
        </w:rPr>
        <w:t>Abb. 2</w:t>
      </w:r>
      <w:r>
        <w:t xml:space="preserve"> Berechnung der OR: Odds Ratio (Ch</w:t>
      </w:r>
      <w:r w:rsidR="00F804BB">
        <w:t>ancenverhältnis)</w:t>
      </w:r>
    </w:p>
    <w:p w14:paraId="1A6D02BA" w14:textId="77777777" w:rsidR="006E0732" w:rsidRDefault="006E0732" w:rsidP="00695493"/>
    <w:p w14:paraId="630E4819" w14:textId="3C1B857A" w:rsidR="004B3A7A" w:rsidRDefault="004B3A7A" w:rsidP="00695493">
      <w:r w:rsidRPr="005532DC">
        <w:rPr>
          <w:b/>
        </w:rPr>
        <w:t xml:space="preserve">Es empfiehlt sich für die Berechnung das Hilfsmittel </w:t>
      </w:r>
      <w:r w:rsidR="007545D4">
        <w:rPr>
          <w:b/>
        </w:rPr>
        <w:t xml:space="preserve">015 </w:t>
      </w:r>
      <w:r w:rsidRPr="005532DC">
        <w:rPr>
          <w:b/>
        </w:rPr>
        <w:t>«Erfassung und Analyse epidemiologischer Abklärung» zu benutzen</w:t>
      </w:r>
      <w:r>
        <w:t>.</w:t>
      </w:r>
    </w:p>
    <w:p w14:paraId="35F0DF91" w14:textId="77777777" w:rsidR="004B3A7A" w:rsidRDefault="004B3A7A" w:rsidP="00695493"/>
    <w:p w14:paraId="74BD9A82" w14:textId="77777777" w:rsidR="004B3A7A" w:rsidRDefault="004B3A7A" w:rsidP="00695493">
      <w:r>
        <w:t>Ein Berechnungsbeispiel daraus</w:t>
      </w:r>
      <w:r w:rsidR="00F804BB">
        <w:t>:</w:t>
      </w:r>
    </w:p>
    <w:p w14:paraId="28DD6F74" w14:textId="77777777" w:rsidR="004B3A7A" w:rsidRDefault="004B3A7A" w:rsidP="00695493">
      <w:r>
        <w:rPr>
          <w:noProof/>
          <w:lang w:val="fr-CH" w:eastAsia="fr-CH"/>
        </w:rPr>
        <w:drawing>
          <wp:inline distT="0" distB="0" distL="0" distR="0" wp14:anchorId="76ECF9D9" wp14:editId="7C39F131">
            <wp:extent cx="5200650" cy="10763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0650" cy="1076325"/>
                    </a:xfrm>
                    <a:prstGeom prst="rect">
                      <a:avLst/>
                    </a:prstGeom>
                  </pic:spPr>
                </pic:pic>
              </a:graphicData>
            </a:graphic>
          </wp:inline>
        </w:drawing>
      </w:r>
    </w:p>
    <w:p w14:paraId="5209834A" w14:textId="77777777" w:rsidR="00BF08EA" w:rsidRDefault="00BF08EA" w:rsidP="00695493"/>
    <w:p w14:paraId="51FE9908" w14:textId="77777777" w:rsidR="00BF08EA" w:rsidRDefault="00BF08EA" w:rsidP="00BF08EA">
      <w:r w:rsidRPr="006E0732">
        <w:rPr>
          <w:b/>
        </w:rPr>
        <w:t>Die Odds Ratio beträgt in diesem Beispiel: 19.80 (Vertrauensintervall: 6.03 – 64.98)</w:t>
      </w:r>
      <w:r>
        <w:t>.</w:t>
      </w:r>
    </w:p>
    <w:p w14:paraId="2F419802" w14:textId="77777777" w:rsidR="00BF08EA" w:rsidRDefault="00BF08EA" w:rsidP="00695493"/>
    <w:p w14:paraId="02713EE0" w14:textId="1EEB9D2D" w:rsidR="00BF08EA" w:rsidRDefault="00BF08EA" w:rsidP="005724BC">
      <w:r w:rsidRPr="006E0732">
        <w:rPr>
          <w:b/>
        </w:rPr>
        <w:t>Interpretation</w:t>
      </w:r>
      <w:r>
        <w:t>: Eine Odds Ratio (Chancenverhältnis) grösser 1 bedeutet, dass der untersuchte Faktor (z.B. ein Menübestandteil, ein Lebensmittel) ein Risikofaktor sein könnte.</w:t>
      </w:r>
    </w:p>
    <w:p w14:paraId="4D85C90D" w14:textId="77777777" w:rsidR="00BF08EA" w:rsidRDefault="00BF08EA" w:rsidP="00695493"/>
    <w:p w14:paraId="207EE1FA" w14:textId="732ED892" w:rsidR="00BF08EA" w:rsidRPr="00695493" w:rsidRDefault="00BF08EA" w:rsidP="00695493">
      <w:r w:rsidRPr="006E0732">
        <w:rPr>
          <w:b/>
        </w:rPr>
        <w:t>Wichtig</w:t>
      </w:r>
      <w:r>
        <w:t xml:space="preserve">: Im Gegensatz zum relativen Risiko RR (siehe </w:t>
      </w:r>
      <w:r w:rsidR="005C0F85">
        <w:t>Hilfsmittel 024 «R</w:t>
      </w:r>
      <w:r>
        <w:t>etrospektive Kohortenstudie</w:t>
      </w:r>
      <w:r w:rsidR="005C0F85">
        <w:t>»</w:t>
      </w:r>
      <w:r>
        <w:t>) hat eine Odds Ratio keine direkt interpretierbare Bedeutung, sie sagt uns nur, wie stark eine Exposition und ein Ergebnis miteinander verbunden zu sein scheinen</w:t>
      </w:r>
    </w:p>
    <w:sectPr w:rsidR="00BF08EA" w:rsidRPr="00695493" w:rsidSect="00D64940">
      <w:headerReference w:type="first" r:id="rId11"/>
      <w:pgSz w:w="11906" w:h="16838"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A3C7" w14:textId="77777777" w:rsidR="00CE5EDA" w:rsidRDefault="00CE5EDA" w:rsidP="00C83398">
      <w:pPr>
        <w:spacing w:line="240" w:lineRule="auto"/>
      </w:pPr>
      <w:r>
        <w:separator/>
      </w:r>
    </w:p>
  </w:endnote>
  <w:endnote w:type="continuationSeparator" w:id="0">
    <w:p w14:paraId="726F3EC4" w14:textId="77777777" w:rsidR="00CE5EDA" w:rsidRDefault="00CE5EDA" w:rsidP="00C83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0B745" w14:textId="77777777" w:rsidR="00CE5EDA" w:rsidRDefault="00CE5EDA" w:rsidP="00C83398">
      <w:pPr>
        <w:spacing w:line="240" w:lineRule="auto"/>
      </w:pPr>
      <w:r>
        <w:separator/>
      </w:r>
    </w:p>
  </w:footnote>
  <w:footnote w:type="continuationSeparator" w:id="0">
    <w:p w14:paraId="69E2558A" w14:textId="77777777" w:rsidR="00CE5EDA" w:rsidRDefault="00CE5EDA" w:rsidP="00C83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6277" w14:textId="77777777" w:rsidR="00C83398" w:rsidRDefault="00C83398" w:rsidP="00C83398">
    <w:pPr>
      <w:pStyle w:val="zzKopfDept"/>
      <w:tabs>
        <w:tab w:val="left" w:pos="4253"/>
      </w:tabs>
      <w:spacing w:after="70"/>
    </w:pPr>
    <w:r>
      <w:rPr>
        <w:lang w:val="de-DE"/>
      </w:rPr>
      <w:tab/>
      <w:t>Eidgenössisches Departement des Innern EDI</w:t>
    </w:r>
  </w:p>
  <w:p w14:paraId="505C6099" w14:textId="77777777" w:rsidR="00C83398" w:rsidRDefault="00C83398" w:rsidP="00C83398">
    <w:pPr>
      <w:pStyle w:val="zzKopfFett"/>
      <w:tabs>
        <w:tab w:val="left" w:pos="4253"/>
      </w:tabs>
    </w:pPr>
    <w:r>
      <w:tab/>
      <w:t>Bundesamt für Lebensmittelsicherheit und</w:t>
    </w:r>
  </w:p>
  <w:p w14:paraId="02F2A0AE" w14:textId="77777777" w:rsidR="00C83398" w:rsidRDefault="00C83398" w:rsidP="00C83398">
    <w:pPr>
      <w:pStyle w:val="zzKopfFett"/>
      <w:tabs>
        <w:tab w:val="left" w:pos="4253"/>
      </w:tabs>
    </w:pPr>
    <w:r>
      <w:tab/>
      <w:t>Veterinärwesen BLV</w:t>
    </w:r>
  </w:p>
  <w:p w14:paraId="310AF78C" w14:textId="77777777" w:rsidR="00C83398" w:rsidRPr="00F804BB" w:rsidRDefault="00C83398" w:rsidP="00F804BB">
    <w:pPr>
      <w:tabs>
        <w:tab w:val="left" w:pos="4253"/>
      </w:tabs>
      <w:spacing w:after="1200" w:line="200" w:lineRule="atLeast"/>
      <w:rPr>
        <w:sz w:val="15"/>
        <w:szCs w:val="15"/>
      </w:rPr>
    </w:pPr>
    <w:r>
      <w:tab/>
    </w:r>
    <w:r w:rsidRPr="00A50D43">
      <w:rPr>
        <w:bCs/>
        <w:sz w:val="15"/>
        <w:szCs w:val="15"/>
        <w:lang w:val="de-DE"/>
      </w:rPr>
      <w:t>Risikobewertung</w:t>
    </w:r>
    <w:r w:rsidRPr="00471C7B">
      <w:rPr>
        <w:rFonts w:eastAsia="Times New Roman"/>
        <w:noProof/>
        <w:sz w:val="15"/>
        <w:szCs w:val="15"/>
        <w:lang w:val="fr-CH" w:eastAsia="fr-CH"/>
      </w:rPr>
      <w:drawing>
        <wp:anchor distT="0" distB="0" distL="114300" distR="114300" simplePos="0" relativeHeight="251659264" behindDoc="0" locked="1" layoutInCell="1" allowOverlap="1" wp14:anchorId="1C3232F6" wp14:editId="4CD9BAD8">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34CF"/>
    <w:multiLevelType w:val="hybridMultilevel"/>
    <w:tmpl w:val="E984F74A"/>
    <w:lvl w:ilvl="0" w:tplc="73F27AC8">
      <w:start w:val="1"/>
      <w:numFmt w:val="lowerLetter"/>
      <w:lvlText w:val="%1)"/>
      <w:lvlJc w:val="left"/>
      <w:pPr>
        <w:ind w:left="644" w:hanging="360"/>
      </w:pPr>
      <w:rPr>
        <w:rFonts w:hint="default"/>
        <w:u w:val="none"/>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6E49283B"/>
    <w:multiLevelType w:val="hybridMultilevel"/>
    <w:tmpl w:val="0F3E04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8A016F"/>
    <w:multiLevelType w:val="hybridMultilevel"/>
    <w:tmpl w:val="A3D26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0"/>
    <w:rsid w:val="000B705C"/>
    <w:rsid w:val="00112E34"/>
    <w:rsid w:val="00216C36"/>
    <w:rsid w:val="00331262"/>
    <w:rsid w:val="003D2EBB"/>
    <w:rsid w:val="00453925"/>
    <w:rsid w:val="004B3A7A"/>
    <w:rsid w:val="004D49EE"/>
    <w:rsid w:val="005724BC"/>
    <w:rsid w:val="005C0F85"/>
    <w:rsid w:val="006002F9"/>
    <w:rsid w:val="00690330"/>
    <w:rsid w:val="00695493"/>
    <w:rsid w:val="006E0732"/>
    <w:rsid w:val="00721DD2"/>
    <w:rsid w:val="007545D4"/>
    <w:rsid w:val="008A7C5F"/>
    <w:rsid w:val="00AB2BFD"/>
    <w:rsid w:val="00BD558D"/>
    <w:rsid w:val="00BE7521"/>
    <w:rsid w:val="00BF08EA"/>
    <w:rsid w:val="00C16DFA"/>
    <w:rsid w:val="00C17AD2"/>
    <w:rsid w:val="00C83398"/>
    <w:rsid w:val="00CE5EDA"/>
    <w:rsid w:val="00D15678"/>
    <w:rsid w:val="00D64940"/>
    <w:rsid w:val="00D7076C"/>
    <w:rsid w:val="00EA2170"/>
    <w:rsid w:val="00F20E35"/>
    <w:rsid w:val="00F343BE"/>
    <w:rsid w:val="00F804BB"/>
    <w:rsid w:val="00FD08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EA1D2"/>
  <w15:chartTrackingRefBased/>
  <w15:docId w15:val="{EC188041-707E-45E3-B5B6-0C8D81D9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40"/>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940"/>
    <w:pPr>
      <w:ind w:left="567"/>
      <w:contextualSpacing/>
    </w:pPr>
  </w:style>
  <w:style w:type="paragraph" w:styleId="Titre">
    <w:name w:val="Title"/>
    <w:basedOn w:val="Normal"/>
    <w:next w:val="Normal"/>
    <w:link w:val="TitreCar"/>
    <w:uiPriority w:val="10"/>
    <w:qFormat/>
    <w:rsid w:val="00D6494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6494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83398"/>
    <w:pPr>
      <w:tabs>
        <w:tab w:val="center" w:pos="4536"/>
        <w:tab w:val="right" w:pos="9072"/>
      </w:tabs>
      <w:spacing w:line="240" w:lineRule="auto"/>
    </w:pPr>
  </w:style>
  <w:style w:type="character" w:customStyle="1" w:styleId="En-tteCar">
    <w:name w:val="En-tête Car"/>
    <w:basedOn w:val="Policepardfaut"/>
    <w:link w:val="En-tte"/>
    <w:uiPriority w:val="99"/>
    <w:rsid w:val="00C83398"/>
    <w:rPr>
      <w:rFonts w:ascii="Arial" w:eastAsia="MS Mincho" w:hAnsi="Arial" w:cs="Times New Roman"/>
      <w:sz w:val="20"/>
    </w:rPr>
  </w:style>
  <w:style w:type="paragraph" w:styleId="Pieddepage">
    <w:name w:val="footer"/>
    <w:basedOn w:val="Normal"/>
    <w:link w:val="PieddepageCar"/>
    <w:uiPriority w:val="99"/>
    <w:unhideWhenUsed/>
    <w:rsid w:val="00C83398"/>
    <w:pPr>
      <w:tabs>
        <w:tab w:val="center" w:pos="4536"/>
        <w:tab w:val="right" w:pos="9072"/>
      </w:tabs>
      <w:spacing w:line="240" w:lineRule="auto"/>
    </w:pPr>
  </w:style>
  <w:style w:type="character" w:customStyle="1" w:styleId="PieddepageCar">
    <w:name w:val="Pied de page Car"/>
    <w:basedOn w:val="Policepardfaut"/>
    <w:link w:val="Pieddepage"/>
    <w:uiPriority w:val="99"/>
    <w:rsid w:val="00C83398"/>
    <w:rPr>
      <w:rFonts w:ascii="Arial" w:eastAsia="MS Mincho" w:hAnsi="Arial" w:cs="Times New Roman"/>
      <w:sz w:val="20"/>
    </w:rPr>
  </w:style>
  <w:style w:type="paragraph" w:customStyle="1" w:styleId="zzKopfDept">
    <w:name w:val="zz KopfDept"/>
    <w:next w:val="Normal"/>
    <w:rsid w:val="00C83398"/>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rsid w:val="00C83398"/>
    <w:pPr>
      <w:suppressAutoHyphens/>
      <w:spacing w:after="0" w:line="200" w:lineRule="atLeast"/>
    </w:pPr>
    <w:rPr>
      <w:rFonts w:ascii="Arial" w:eastAsia="Times New Roman" w:hAnsi="Arial" w:cs="Times New Roman"/>
      <w:b/>
      <w:noProof/>
      <w:sz w:val="15"/>
      <w:szCs w:val="20"/>
      <w:lang w:eastAsia="de-CH"/>
    </w:rPr>
  </w:style>
  <w:style w:type="character" w:styleId="Marquedecommentaire">
    <w:name w:val="annotation reference"/>
    <w:basedOn w:val="Policepardfaut"/>
    <w:uiPriority w:val="99"/>
    <w:semiHidden/>
    <w:unhideWhenUsed/>
    <w:rsid w:val="00FD0878"/>
    <w:rPr>
      <w:sz w:val="16"/>
      <w:szCs w:val="16"/>
    </w:rPr>
  </w:style>
  <w:style w:type="paragraph" w:styleId="Commentaire">
    <w:name w:val="annotation text"/>
    <w:basedOn w:val="Normal"/>
    <w:link w:val="CommentaireCar"/>
    <w:uiPriority w:val="99"/>
    <w:semiHidden/>
    <w:unhideWhenUsed/>
    <w:rsid w:val="00FD0878"/>
    <w:pPr>
      <w:spacing w:line="240" w:lineRule="auto"/>
    </w:pPr>
    <w:rPr>
      <w:szCs w:val="20"/>
    </w:rPr>
  </w:style>
  <w:style w:type="character" w:customStyle="1" w:styleId="CommentaireCar">
    <w:name w:val="Commentaire Car"/>
    <w:basedOn w:val="Policepardfaut"/>
    <w:link w:val="Commentaire"/>
    <w:uiPriority w:val="99"/>
    <w:semiHidden/>
    <w:rsid w:val="00FD0878"/>
    <w:rPr>
      <w:rFonts w:ascii="Arial" w:eastAsia="MS Mincho"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FD0878"/>
    <w:rPr>
      <w:b/>
      <w:bCs/>
    </w:rPr>
  </w:style>
  <w:style w:type="character" w:customStyle="1" w:styleId="ObjetducommentaireCar">
    <w:name w:val="Objet du commentaire Car"/>
    <w:basedOn w:val="CommentaireCar"/>
    <w:link w:val="Objetducommentaire"/>
    <w:uiPriority w:val="99"/>
    <w:semiHidden/>
    <w:rsid w:val="00FD0878"/>
    <w:rPr>
      <w:rFonts w:ascii="Arial" w:eastAsia="MS Mincho" w:hAnsi="Arial" w:cs="Times New Roman"/>
      <w:b/>
      <w:bCs/>
      <w:sz w:val="20"/>
      <w:szCs w:val="20"/>
    </w:rPr>
  </w:style>
  <w:style w:type="paragraph" w:styleId="Textedebulles">
    <w:name w:val="Balloon Text"/>
    <w:basedOn w:val="Normal"/>
    <w:link w:val="TextedebullesCar"/>
    <w:uiPriority w:val="99"/>
    <w:semiHidden/>
    <w:unhideWhenUsed/>
    <w:rsid w:val="00FD087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87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3 Fall Kontrollstudie"/>
    <f:field ref="objsubject" par="" edit="true" text=""/>
    <f:field ref="objcreatedby" par="" text="Luethi, Thomas, tlu, BLV"/>
    <f:field ref="objcreatedat" par="" text="14.01.2020 11:57:56"/>
    <f:field ref="objchangedby" par="" text="Fridez, Françoise, frf, BLV"/>
    <f:field ref="objmodifiedat" par="" text="22.06.2020 15:34:15"/>
    <f:field ref="doc_FSCFOLIO_1_1001_FieldDocumentNumber" par="" text=""/>
    <f:field ref="doc_FSCFOLIO_1_1001_FieldSubject" par="" edit="true" text=""/>
    <f:field ref="FSCFOLIO_1_1001_FieldCurrentUser" par="" text="Thomas Luethi"/>
    <f:field ref="CCAPRECONFIG_15_1001_Objektname" par="" edit="true" text="023 Fall Kontrollstudie"/>
    <f:field ref="CHPRECONFIG_1_1001_Objektname" par="" edit="true" text="023 Fall Kontrollstudi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2706</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2020-07-24T14:48:00Z</dcterms:created>
  <dcterms:modified xsi:type="dcterms:W3CDTF">2020-07-24T14:48:00Z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2020-01-14/151</vt:lpwstr>
  </property>
  <property fmtid="{D5CDD505-2E9C-101B-9397-08002B2CF9AE}" pid="9" name="FSC#EVDCFG@15.1400:DossierBarCode">
    <vt:lpwstr/>
  </property>
  <property fmtid="{D5CDD505-2E9C-101B-9397-08002B2CF9AE}" pid="10" name="FSC#EVDCFG@15.1400:ActualVersionNumber">
    <vt:lpwstr>6</vt:lpwstr>
  </property>
  <property fmtid="{D5CDD505-2E9C-101B-9397-08002B2CF9AE}" pid="11" name="FSC#EVDCFG@15.1400:ActualVersionCreatedAt">
    <vt:lpwstr>2020-06-22T15:25:31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DIBLV@15.1700:UserInChargeUserTitle">
    <vt:lpwstr/>
  </property>
  <property fmtid="{D5CDD505-2E9C-101B-9397-08002B2CF9AE}" pid="17" name="FSC#EDIBLV@15.1700:UserInChargeUserName">
    <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Lebensmittel und Ernährung</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023 Fall Kontrollstudie</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LME</vt:lpwstr>
  </property>
  <property fmtid="{D5CDD505-2E9C-101B-9397-08002B2CF9AE}" pid="59" name="FSC#EDIBLV@15.1700:ResponsibleEditorFirstname">
    <vt:lpwstr/>
  </property>
  <property fmtid="{D5CDD505-2E9C-101B-9397-08002B2CF9AE}" pid="60" name="FSC#EDIBLV@15.1700:ResponsibleEditorSurname">
    <vt:lpwstr/>
  </property>
  <property fmtid="{D5CDD505-2E9C-101B-9397-08002B2CF9AE}" pid="61" name="FSC#EDIBLV@15.1700:GroupTitle">
    <vt:lpwstr>Lebensmittel und Ernährung</vt:lpwstr>
  </property>
  <property fmtid="{D5CDD505-2E9C-101B-9397-08002B2CF9AE}" pid="62" name="FSC#EVDCFG@15.1400:SalutationGerman">
    <vt:lpwstr>Lebensmittel und Ernährung</vt:lpwstr>
  </property>
  <property fmtid="{D5CDD505-2E9C-101B-9397-08002B2CF9AE}" pid="63" name="FSC#EVDCFG@15.1400:SalutationFrench">
    <vt:lpwstr>Denrées alimentaires et nutrition</vt:lpwstr>
  </property>
  <property fmtid="{D5CDD505-2E9C-101B-9397-08002B2CF9AE}" pid="64" name="FSC#EVDCFG@15.1400:SalutationItalian">
    <vt:lpwstr>Derrate alimentari e nutrizione</vt:lpwstr>
  </property>
  <property fmtid="{D5CDD505-2E9C-101B-9397-08002B2CF9AE}" pid="65" name="FSC#EVDCFG@15.1400:SalutationEnglish">
    <vt:lpwstr>Food and Nutrition</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151</vt:lpwstr>
  </property>
  <property fmtid="{D5CDD505-2E9C-101B-9397-08002B2CF9AE}" pid="73" name="FSC#BSVTEMPL@102.1950:Dossierref">
    <vt:lpwstr>314.3/2014/00251</vt:lpwstr>
  </property>
  <property fmtid="{D5CDD505-2E9C-101B-9397-08002B2CF9AE}" pid="74" name="FSC#BSVTEMPL@102.1950:Oursign">
    <vt:lpwstr>314.3/2014/00251 14.01.2020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
  </property>
  <property fmtid="{D5CDD505-2E9C-101B-9397-08002B2CF9AE}" pid="80" name="FSC#BSVTEMPL@102.1950:FileRespFax">
    <vt:lpwstr/>
  </property>
  <property fmtid="{D5CDD505-2E9C-101B-9397-08002B2CF9AE}" pid="81" name="FSC#BSVTEMPL@102.1950:FileRespHome">
    <vt:lpwstr/>
  </property>
  <property fmtid="{D5CDD505-2E9C-101B-9397-08002B2CF9AE}" pid="82" name="FSC#BSVTEMPL@102.1950:FileRespStreet">
    <vt:lpwstr/>
  </property>
  <property fmtid="{D5CDD505-2E9C-101B-9397-08002B2CF9AE}" pid="83" name="FSC#BSVTEMPL@102.1950:FileRespTel">
    <vt:lpwstr/>
  </property>
  <property fmtid="{D5CDD505-2E9C-101B-9397-08002B2CF9AE}" pid="84" name="FSC#BSVTEMPL@102.1950:FileRespZipCode">
    <vt:lpwstr/>
  </property>
  <property fmtid="{D5CDD505-2E9C-101B-9397-08002B2CF9AE}" pid="85" name="FSC#BSVTEMPL@102.1950:NameFileResponsible">
    <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
  </property>
  <property fmtid="{D5CDD505-2E9C-101B-9397-08002B2CF9AE}" pid="89" name="FSC#BSVTEMPL@102.1950:FileResponsible">
    <vt:lpwstr/>
  </property>
  <property fmtid="{D5CDD505-2E9C-101B-9397-08002B2CF9AE}" pid="90" name="FSC#BSVTEMPL@102.1950:FileRespOrg">
    <vt:lpwstr>Lebensmittel und Ernährung,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Food and Nutrition</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Fall Kontrollstudie</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2020-01-14/151</vt:lpwstr>
  </property>
  <property fmtid="{D5CDD505-2E9C-101B-9397-08002B2CF9AE}" pid="103" name="FSC#EDICFG@15.1700:UniqueSubFileNumber">
    <vt:lpwstr>2020314-0151</vt:lpwstr>
  </property>
  <property fmtid="{D5CDD505-2E9C-101B-9397-08002B2CF9AE}" pid="104" name="FSC#BSVTEMPL@102.1950:DocumentIDEnhanced">
    <vt:lpwstr>314.3/2014/00251 14.01.2020 Doknr: 151</vt:lpwstr>
  </property>
  <property fmtid="{D5CDD505-2E9C-101B-9397-08002B2CF9AE}" pid="105" name="FSC#EDICFG@15.1700:FileRespInitials">
    <vt:lpwstr/>
  </property>
  <property fmtid="{D5CDD505-2E9C-101B-9397-08002B2CF9AE}" pid="106" name="FSC#EDICFG@15.1700:FileRespOrgD">
    <vt:lpwstr>Lebensmittel und Ernährung</vt:lpwstr>
  </property>
  <property fmtid="{D5CDD505-2E9C-101B-9397-08002B2CF9AE}" pid="107" name="FSC#EDICFG@15.1700:FileRespOrgF">
    <vt:lpwstr>Denrées alimentaires et nutrition</vt:lpwstr>
  </property>
  <property fmtid="{D5CDD505-2E9C-101B-9397-08002B2CF9AE}" pid="108" name="FSC#EDICFG@15.1700:FileRespOrgE">
    <vt:lpwstr>Food and Nutrition</vt:lpwstr>
  </property>
  <property fmtid="{D5CDD505-2E9C-101B-9397-08002B2CF9AE}" pid="109" name="FSC#EDICFG@15.1700:FileRespOrgI">
    <vt:lpwstr>Derrate alimentari e nutrizione</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Luethi Thomas</vt:lpwstr>
  </property>
  <property fmtid="{D5CDD505-2E9C-101B-9397-08002B2CF9AE}" pid="122" name="FSC#COOELAK@1.1001:OwnerExtension">
    <vt:lpwstr>+41 58 463 84 95</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14.01.2020</vt:lpwstr>
  </property>
  <property fmtid="{D5CDD505-2E9C-101B-9397-08002B2CF9AE}" pid="130" name="FSC#COOELAK@1.1001:OU">
    <vt:lpwstr>Lebensmittel und Ernährung, BLV</vt:lpwstr>
  </property>
  <property fmtid="{D5CDD505-2E9C-101B-9397-08002B2CF9AE}" pid="131" name="FSC#COOELAK@1.1001:Priority">
    <vt:lpwstr> ()</vt:lpwstr>
  </property>
  <property fmtid="{D5CDD505-2E9C-101B-9397-08002B2CF9AE}" pid="132" name="FSC#COOELAK@1.1001:ObjBarCode">
    <vt:lpwstr>*COO.2101.102.7.986488*</vt:lpwstr>
  </property>
  <property fmtid="{D5CDD505-2E9C-101B-9397-08002B2CF9AE}" pid="133" name="FSC#COOELAK@1.1001:RefBarCode">
    <vt:lpwstr>*COO.2101.102.6.986488*</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Sachbearbeiter/in</vt:lpwstr>
  </property>
  <property fmtid="{D5CDD505-2E9C-101B-9397-08002B2CF9AE}" pid="149" name="FSC#COOELAK@1.1001:CurrentUserEmail">
    <vt:lpwstr>Thomas.Luethi@blv.admin.ch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Fall Kontrollstudie</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2020-01-14/151</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COO.2101.102.7.986488</vt:lpwstr>
  </property>
  <property fmtid="{D5CDD505-2E9C-101B-9397-08002B2CF9AE}" pid="179" name="FSC#FSCFOLIO@1.1001:docpropproject">
    <vt:lpwstr/>
  </property>
</Properties>
</file>