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Weidetötung: Selbstkontrolle durch die Tierhalterin bzw. den Tierhalter </w:t>
      </w:r>
    </w:p>
    <w:tbl>
      <w:tblPr>
        <w:tblStyle w:val="Tabellenraster"/>
        <w:tblW w:w="525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56"/>
        <w:gridCol w:w="2445"/>
        <w:gridCol w:w="4030"/>
      </w:tblGrid>
      <w:tr>
        <w:trPr>
          <w:trHeight w:val="273"/>
        </w:trPr>
        <w:tc>
          <w:tcPr>
            <w:tcW w:w="21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 (TVD) ____________________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Tierhalter/-in _________________________________</w:t>
            </w:r>
          </w:p>
        </w:tc>
      </w:tr>
      <w:tr>
        <w:trPr>
          <w:trHeight w:val="273"/>
        </w:trPr>
        <w:tc>
          <w:tcPr>
            <w:tcW w:w="21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Datum/Zeit (von-bis) _______________</w:t>
            </w:r>
          </w:p>
        </w:tc>
        <w:tc>
          <w:tcPr>
            <w:tcW w:w="2900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ATA /Art. 5 TA</w:t>
            </w:r>
            <w:r>
              <w:rPr>
                <w:sz w:val="18"/>
                <w:szCs w:val="18"/>
                <w:vertAlign w:val="superscript"/>
              </w:rPr>
              <w:footnoteReference w:id="1"/>
            </w:r>
            <w:r>
              <w:rPr>
                <w:sz w:val="18"/>
                <w:szCs w:val="18"/>
              </w:rPr>
              <w:t xml:space="preserve"> __________________________</w:t>
            </w: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Tierart: ……………………………</w:t>
            </w:r>
          </w:p>
        </w:tc>
        <w:tc>
          <w:tcPr>
            <w:tcW w:w="1389" w:type="pct"/>
            <w:gridSpan w:val="2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pct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73"/>
        </w:trPr>
        <w:tc>
          <w:tcPr>
            <w:tcW w:w="1806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Identifikation der kontrollierten Tiere</w:t>
            </w:r>
          </w:p>
        </w:tc>
        <w:tc>
          <w:tcPr>
            <w:tcW w:w="1389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05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</w:tr>
      <w:tr>
        <w:trPr>
          <w:trHeight w:val="297"/>
        </w:trPr>
        <w:tc>
          <w:tcPr>
            <w:tcW w:w="1806" w:type="pc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805" w:type="pct"/>
            <w:hideMark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</w:tr>
      <w:tr>
        <w:trPr>
          <w:trHeight w:val="255"/>
        </w:trPr>
        <w:tc>
          <w:tcPr>
            <w:tcW w:w="1806" w:type="pct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Betäubung durch___________________</w:t>
            </w:r>
          </w:p>
        </w:tc>
        <w:tc>
          <w:tcPr>
            <w:tcW w:w="1389" w:type="pct"/>
            <w:gridSpan w:val="2"/>
          </w:tcPr>
          <w:p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Entblutung</w:t>
            </w:r>
            <w:proofErr w:type="spellEnd"/>
            <w:r>
              <w:rPr>
                <w:sz w:val="18"/>
                <w:szCs w:val="18"/>
              </w:rPr>
              <w:t xml:space="preserve"> durch______________</w:t>
            </w:r>
          </w:p>
        </w:tc>
        <w:tc>
          <w:tcPr>
            <w:tcW w:w="1805" w:type="pct"/>
          </w:tcPr>
          <w:p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(Name, Vorname, je angeben)</w:t>
            </w:r>
          </w:p>
        </w:tc>
      </w:tr>
    </w:tbl>
    <w:p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536"/>
      </w:tblGrid>
      <w:tr>
        <w:trPr>
          <w:trHeight w:val="369"/>
          <w:tblHeader/>
        </w:trPr>
        <w:tc>
          <w:tcPr>
            <w:tcW w:w="5245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 xml:space="preserve">Kontrollpunkt 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ind w:right="-108"/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Befund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 xml:space="preserve">Bemerkung/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Massnahmen</w:t>
            </w:r>
            <w:proofErr w:type="spellEnd"/>
          </w:p>
        </w:tc>
      </w:tr>
      <w:tr>
        <w:trPr>
          <w:trHeight w:val="361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 xml:space="preserve">Vorbereitung Weidetötung </w:t>
            </w: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Dokumentation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Notwendige Meldungen erledigt, Personal / Dienstleister aufgeboten und Einsatz bestätigt? (ausführen, wer ...)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 xml:space="preserve">Begleitdokument korrekt/vollständig ausgefüllt; 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 xml:space="preserve">Formular Schlachttieruntersuchung durch ATA vorhanden und i. O.; 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Herkunft Tiere korrekt belegt (Auszug TVD vorhanden)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 xml:space="preserve">falls nötig tierärztliches Zeugnis vorhanden und i. O. </w:t>
            </w:r>
          </w:p>
          <w:p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2092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Vorbereitung Infrastruktur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Schussplatz vorbereitet, sauber und i. O.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Falls notwendig Warntafeln aufstellen / Absperrung angebracht?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 xml:space="preserve">Gerätschaften und Transportanhänger etc., alle sauber und geprüft, vorhanden und in Position 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Gewehr schussbereit, geprüft, korrekte Munition, Ersatzmunition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Korrektes Funktionieren geprüft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Ersatzgerät für aufgesetzte Nachbetäubung (Bolzenschussapparat, Munition korrekt mit 2. Person in Reichweite) einsatzbereit</w:t>
            </w:r>
          </w:p>
          <w:p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Anwesenheit von mindestens 2 fachkundigen Personen vor Ort</w:t>
            </w:r>
          </w:p>
          <w:p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365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 xml:space="preserve">Schuss / Betäubung, Entbluten, Verladen, Transport </w:t>
            </w:r>
          </w:p>
        </w:tc>
      </w:tr>
      <w:tr>
        <w:trPr>
          <w:trHeight w:val="365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Tier an Schuss gewohnt, Vereinzelung nach Schuss schnell gegeben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277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Betäubung wirksam durchgeführt 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495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Betäubungserfolg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wird </w:t>
            </w: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überprüft 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angemessene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Massnahmen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bei ungenügender Betäubung 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Das Tier ist nach dem Kugel- oder Bolzenschuss unverzüglich zu entbluten.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836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Hygiene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Entblutungsschnitt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eingehalten 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(1 Messertechnik wird toleriert)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Korrektes Setzen des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Entblutungsschnittes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Blutaustritt im Schwall (keine Verletzung von Oesophagus und Trachea);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Stichblut wird aufgefangen und dem Transport mitgegeben.</w:t>
            </w:r>
          </w:p>
          <w:p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45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Entblutung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und Todeseintritt wird überprüft.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958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Nur mit dem in der Bewilligung erfassten Fahrzeug / Anhänger.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Anhänger wird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ausschliesslich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für die Hoftötung eingesetzt (keine Lebensmittel und/oder Futtermittel unverpackt, keine lebenden Tiere)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Fahrzeug / Anhänger ist in sauberem Zustand vor Beladen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Fahrzeug / Anhänger ist nach Beladen dicht, kein Austritt von Blut und Ausscheidungen. Schlachttierkörper abgedeckt.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Aussenseite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sauber bei Abfahrt.</w:t>
            </w:r>
          </w:p>
          <w:p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619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Nach der Betäubung muss der Schlachttierkörper innerhalb von 45 </w:t>
            </w: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Minuten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ausgeweidet sein.</w:t>
            </w:r>
          </w:p>
        </w:tc>
        <w:tc>
          <w:tcPr>
            <w:tcW w:w="851" w:type="dxa"/>
            <w:vAlign w:val="center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349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Dokumentation Zeiten </w:t>
            </w:r>
          </w:p>
        </w:tc>
      </w:tr>
      <w:tr>
        <w:trPr>
          <w:trHeight w:val="134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Zeitpunkt Schuss/ Betäubung /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Visum Person, die betäubt</w:t>
            </w:r>
          </w:p>
          <w:p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hRule="exact" w:val="553"/>
        </w:trPr>
        <w:tc>
          <w:tcPr>
            <w:tcW w:w="5245" w:type="dxa"/>
          </w:tcPr>
          <w:p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Zeitpunkt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Entblutung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Visum Person, die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entblutet</w:t>
            </w:r>
            <w:proofErr w:type="spellEnd"/>
          </w:p>
          <w:p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538"/>
        </w:trPr>
        <w:tc>
          <w:tcPr>
            <w:tcW w:w="5245" w:type="dxa"/>
          </w:tcPr>
          <w:p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Zeitpunkt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Schuss und Zeitpunkt Entbluten sowie Transportbeginn auf Begleitdokument übertragen / </w:t>
            </w:r>
          </w:p>
          <w:p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Visum Tierhalter/-in</w:t>
            </w:r>
          </w:p>
          <w:p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>
        <w:trPr>
          <w:trHeight w:val="477"/>
        </w:trPr>
        <w:tc>
          <w:tcPr>
            <w:tcW w:w="5245" w:type="dxa"/>
          </w:tcPr>
          <w:p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Rückmeldung Schlachtbetrieb, ob Zeit 45 Min. ausgereicht hat bis das Tier ausgeweidet war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(ja/nein / Eintrag durch Tierhalter/-in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</w:tbl>
    <w:p>
      <w:pPr>
        <w:spacing w:before="120" w:after="120" w:line="240" w:lineRule="auto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Befunde:</w:t>
      </w:r>
      <w:r>
        <w:rPr>
          <w:rFonts w:cs="Arial"/>
          <w:sz w:val="12"/>
          <w:szCs w:val="12"/>
        </w:rPr>
        <w:t xml:space="preserve">  </w:t>
      </w:r>
      <w:r>
        <w:rPr>
          <w:rFonts w:ascii="Wingdings" w:hAnsi="Wingdings" w:cs="Arial"/>
          <w:color w:val="000000"/>
          <w:sz w:val="18"/>
          <w:szCs w:val="18"/>
        </w:rPr>
        <w:t>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= erfüllt           </w:t>
      </w:r>
      <w:r>
        <w:rPr>
          <w:rFonts w:cs="Arial"/>
          <w:color w:val="000000"/>
          <w:sz w:val="18"/>
          <w:szCs w:val="18"/>
        </w:rPr>
        <w:t xml:space="preserve">O </w:t>
      </w:r>
      <w:r>
        <w:rPr>
          <w:rFonts w:cs="Arial"/>
          <w:color w:val="000000"/>
          <w:sz w:val="16"/>
          <w:szCs w:val="16"/>
        </w:rPr>
        <w:t xml:space="preserve">= nicht erfüllt, </w:t>
      </w:r>
      <w:r>
        <w:rPr>
          <w:rFonts w:cs="Arial"/>
          <w:b/>
          <w:color w:val="000000"/>
          <w:sz w:val="16"/>
          <w:szCs w:val="16"/>
        </w:rPr>
        <w:t>/</w:t>
      </w:r>
      <w:r>
        <w:rPr>
          <w:rFonts w:cs="Arial"/>
          <w:color w:val="000000"/>
          <w:sz w:val="16"/>
          <w:szCs w:val="16"/>
        </w:rPr>
        <w:t xml:space="preserve"> = nicht anwendbar</w:t>
      </w:r>
      <w:r>
        <w:rPr>
          <w:rFonts w:cs="Arial"/>
          <w:color w:val="000000"/>
          <w:sz w:val="16"/>
          <w:szCs w:val="16"/>
        </w:rPr>
        <w:tab/>
      </w:r>
      <w:proofErr w:type="spellStart"/>
      <w:r>
        <w:rPr>
          <w:rFonts w:cs="Arial"/>
          <w:color w:val="000000"/>
          <w:sz w:val="16"/>
          <w:szCs w:val="16"/>
        </w:rPr>
        <w:t>nk</w:t>
      </w:r>
      <w:proofErr w:type="spellEnd"/>
      <w:r>
        <w:rPr>
          <w:rFonts w:cs="Arial"/>
          <w:color w:val="000000"/>
          <w:sz w:val="16"/>
          <w:szCs w:val="16"/>
        </w:rPr>
        <w:t xml:space="preserve"> = nicht kontrolliert                                                   </w:t>
      </w:r>
      <w:r>
        <w:rPr>
          <w:sz w:val="16"/>
          <w:szCs w:val="16"/>
        </w:rPr>
        <w:t>Version 01.09.2022/</w:t>
      </w:r>
      <w:proofErr w:type="spellStart"/>
      <w:r>
        <w:rPr>
          <w:sz w:val="16"/>
          <w:szCs w:val="16"/>
        </w:rPr>
        <w:t>zid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jap</w:t>
      </w:r>
      <w:proofErr w:type="spellEnd"/>
    </w:p>
    <w:p>
      <w:pPr>
        <w:spacing w:after="200" w:line="240" w:lineRule="auto"/>
        <w:rPr>
          <w:sz w:val="16"/>
          <w:szCs w:val="16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3" w:right="707" w:bottom="284" w:left="567" w:header="18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111486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Cs w:val="16"/>
          </w:rPr>
          <w:id w:val="-2020152438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  <w:rPr>
                <w:szCs w:val="16"/>
              </w:rPr>
            </w:pPr>
            <w:r>
              <w:rPr>
                <w:szCs w:val="16"/>
                <w:lang w:val="de-DE"/>
              </w:rPr>
              <w:t xml:space="preserve">Seite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  <w:r>
              <w:rPr>
                <w:szCs w:val="16"/>
                <w:lang w:val="de-DE"/>
              </w:rPr>
              <w:t xml:space="preserve"> von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uzeile"/>
      <w:tabs>
        <w:tab w:val="clear" w:pos="4536"/>
        <w:tab w:val="clear" w:pos="9072"/>
      </w:tabs>
      <w:spacing w:line="240" w:lineRule="auto"/>
      <w:contextualSpacing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3317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rPr>
                <w:szCs w:val="16"/>
                <w:lang w:val="de-DE"/>
              </w:rPr>
              <w:t xml:space="preserve">Seite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1</w:t>
            </w:r>
            <w:r>
              <w:rPr>
                <w:b/>
                <w:bCs/>
                <w:szCs w:val="16"/>
              </w:rPr>
              <w:fldChar w:fldCharType="end"/>
            </w:r>
            <w:r>
              <w:rPr>
                <w:szCs w:val="16"/>
                <w:lang w:val="de-DE"/>
              </w:rPr>
              <w:t xml:space="preserve"> von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unotentext"/>
        <w:rPr>
          <w:szCs w:val="16"/>
        </w:rPr>
      </w:pPr>
      <w:r>
        <w:rPr>
          <w:rStyle w:val="Funotenzeichen"/>
          <w:szCs w:val="16"/>
        </w:rPr>
        <w:footnoteRef/>
      </w:r>
      <w:r>
        <w:rPr>
          <w:szCs w:val="16"/>
        </w:rPr>
        <w:t xml:space="preserve"> Art. 5 Verordnung über die Aus-, Weiter- und Fortbildung der Personen im öffentlichen Veterinärwesen und Art. 52 VSFK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line="240" w:lineRule="auto"/>
      <w:jc w:val="right"/>
      <w:rPr>
        <w:i/>
      </w:rPr>
    </w:pPr>
    <w:r>
      <w:rPr>
        <w:rFonts w:cs="Arial"/>
        <w:noProof/>
        <w:lang w:eastAsia="de-CH"/>
      </w:rPr>
      <w:drawing>
        <wp:inline distT="0" distB="0" distL="0" distR="0">
          <wp:extent cx="2971800" cy="673100"/>
          <wp:effectExtent l="0" t="0" r="0" b="0"/>
          <wp:docPr id="1" name="Grafik 1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spacing w:line="240" w:lineRule="auto"/>
      <w:rPr>
        <w:i/>
      </w:rPr>
    </w:pPr>
  </w:p>
  <w:p>
    <w:pPr>
      <w:pStyle w:val="Kopfzeile"/>
      <w:spacing w:line="240" w:lineRule="auto"/>
      <w:rPr>
        <w:i/>
      </w:rPr>
    </w:pPr>
    <w:r>
      <w:rPr>
        <w:i/>
        <w:noProof/>
        <w:lang w:eastAsia="de-CH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Vorlage gemäss konkreter Situation anpassen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F07ED"/>
    <w:multiLevelType w:val="hybridMultilevel"/>
    <w:tmpl w:val="6DFE0BCC"/>
    <w:lvl w:ilvl="0" w:tplc="CFB8504A">
      <w:numFmt w:val="bullet"/>
      <w:lvlText w:val="-"/>
      <w:lvlJc w:val="left"/>
      <w:pPr>
        <w:ind w:left="89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67E053F1"/>
    <w:multiLevelType w:val="multilevel"/>
    <w:tmpl w:val="FA60DFCA"/>
    <w:numStyleLink w:val="ListeAufzhlungAltX"/>
  </w:abstractNum>
  <w:abstractNum w:abstractNumId="15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17"/>
  </w:num>
  <w:num w:numId="10">
    <w:abstractNumId w:val="0"/>
  </w:num>
  <w:num w:numId="11">
    <w:abstractNumId w:val="4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12"/>
  </w:num>
  <w:num w:numId="25">
    <w:abstractNumId w:val="8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Pr>
      <w:b/>
    </w:rPr>
  </w:style>
  <w:style w:type="paragraph" w:customStyle="1" w:styleId="Aufzhlung">
    <w:name w:val="Aufzählung"/>
    <w:basedOn w:val="Standard"/>
    <w:uiPriority w:val="2"/>
    <w:qFormat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KantonListe">
    <w:name w:val="Kanton_Liste"/>
    <w:uiPriority w:val="99"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</w:rPr>
  </w:style>
  <w:style w:type="paragraph" w:customStyle="1" w:styleId="KopfAmt9pt">
    <w:name w:val="Kopf Amt 9pt"/>
    <w:basedOn w:val="Standar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Pr>
      <w:sz w:val="16"/>
    </w:rPr>
  </w:style>
  <w:style w:type="paragraph" w:customStyle="1" w:styleId="KopfDirektion9ptFett">
    <w:name w:val="Kopf Direktion 9pt Fett"/>
    <w:basedOn w:val="Standar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Pr>
      <w:b/>
    </w:rPr>
  </w:style>
  <w:style w:type="numbering" w:customStyle="1" w:styleId="ListeAufzhlungAltX">
    <w:name w:val="Liste Aufzählung (Alt+X)"/>
    <w:uiPriority w:val="99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pPr>
      <w:numPr>
        <w:numId w:val="19"/>
      </w:numPr>
    </w:pPr>
  </w:style>
  <w:style w:type="numbering" w:customStyle="1" w:styleId="ListeNummernAltN">
    <w:name w:val="Liste Nummern (Alt+N)"/>
    <w:uiPriority w:val="99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6344-B473-4AB1-99A0-92800495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Zweifel Claudio BLV</cp:lastModifiedBy>
  <cp:revision>2</cp:revision>
  <cp:lastPrinted>2020-08-13T12:13:00Z</cp:lastPrinted>
  <dcterms:created xsi:type="dcterms:W3CDTF">2022-11-16T16:15:00Z</dcterms:created>
  <dcterms:modified xsi:type="dcterms:W3CDTF">2022-11-16T16:15:00Z</dcterms:modified>
</cp:coreProperties>
</file>